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6E" w:rsidRPr="00896C6E" w:rsidRDefault="00896C6E" w:rsidP="00896C6E">
      <w:pPr>
        <w:widowControl w:val="0"/>
        <w:kinsoku w:val="0"/>
        <w:overflowPunct w:val="0"/>
        <w:spacing w:before="10" w:after="0" w:line="234" w:lineRule="exact"/>
        <w:ind w:left="144"/>
        <w:textAlignment w:val="baseline"/>
        <w:rPr>
          <w:rFonts w:ascii="Times New Roman" w:eastAsiaTheme="minorEastAsia" w:hAnsi="Times New Roman" w:cs="Times New Roman"/>
          <w:szCs w:val="24"/>
          <w:lang w:val="en-US" w:eastAsia="en-GB"/>
        </w:rPr>
      </w:pPr>
      <w:r w:rsidRPr="00896C6E">
        <w:rPr>
          <w:rFonts w:ascii="Times New Roman" w:eastAsiaTheme="minorEastAsia" w:hAnsi="Times New Roman" w:cs="Times New Roman"/>
          <w:szCs w:val="24"/>
          <w:lang w:val="en-US" w:eastAsia="en-GB"/>
        </w:rPr>
        <w:t>PRODUCT DISCLOSURE SHEET</w:t>
      </w:r>
    </w:p>
    <w:tbl>
      <w:tblPr>
        <w:tblW w:w="8945" w:type="dxa"/>
        <w:tblInd w:w="20" w:type="dxa"/>
        <w:tblLayout w:type="fixed"/>
        <w:tblCellMar>
          <w:left w:w="0" w:type="dxa"/>
          <w:right w:w="0" w:type="dxa"/>
        </w:tblCellMar>
        <w:tblLook w:val="0000" w:firstRow="0" w:lastRow="0" w:firstColumn="0" w:lastColumn="0" w:noHBand="0" w:noVBand="0"/>
      </w:tblPr>
      <w:tblGrid>
        <w:gridCol w:w="4510"/>
        <w:gridCol w:w="4360"/>
        <w:gridCol w:w="75"/>
      </w:tblGrid>
      <w:tr w:rsidR="00896C6E" w:rsidRPr="00896C6E" w:rsidTr="00896C6E">
        <w:trPr>
          <w:trHeight w:hRule="exact" w:val="1258"/>
        </w:trPr>
        <w:tc>
          <w:tcPr>
            <w:tcW w:w="4510" w:type="dxa"/>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0" w:line="205" w:lineRule="exact"/>
              <w:ind w:left="72"/>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PRODUCT DISCLOSURE SHEET</w:t>
            </w:r>
          </w:p>
          <w:p w:rsidR="00896C6E" w:rsidRPr="00896C6E" w:rsidRDefault="00896C6E" w:rsidP="00896C6E">
            <w:pPr>
              <w:widowControl w:val="0"/>
              <w:kinsoku w:val="0"/>
              <w:overflowPunct w:val="0"/>
              <w:spacing w:before="203" w:after="0" w:line="203" w:lineRule="exact"/>
              <w:ind w:left="144" w:right="21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(Read this Product Disclosure Sheet before you decide to take up the standby documentary credit-i product by HSBC Amanah Malaysia Berhad (“</w:t>
            </w:r>
            <w:r w:rsidRPr="00896C6E">
              <w:rPr>
                <w:rFonts w:ascii="Times New Roman" w:eastAsiaTheme="minorEastAsia" w:hAnsi="Times New Roman" w:cs="Times New Roman"/>
                <w:b/>
                <w:sz w:val="18"/>
                <w:szCs w:val="24"/>
                <w:lang w:val="en-US" w:eastAsia="en-GB"/>
              </w:rPr>
              <w:t>Bank</w:t>
            </w:r>
            <w:r w:rsidRPr="00896C6E">
              <w:rPr>
                <w:rFonts w:ascii="Times New Roman" w:eastAsiaTheme="minorEastAsia" w:hAnsi="Times New Roman" w:cs="Times New Roman"/>
                <w:sz w:val="18"/>
                <w:szCs w:val="24"/>
                <w:lang w:val="en-US" w:eastAsia="en-GB"/>
              </w:rPr>
              <w:t>”) (“</w:t>
            </w:r>
            <w:r w:rsidRPr="00896C6E">
              <w:rPr>
                <w:rFonts w:ascii="Times New Roman" w:eastAsiaTheme="minorEastAsia" w:hAnsi="Times New Roman" w:cs="Times New Roman"/>
                <w:b/>
                <w:sz w:val="18"/>
                <w:szCs w:val="24"/>
                <w:lang w:val="en-US" w:eastAsia="en-GB"/>
              </w:rPr>
              <w:t>SDC-i</w:t>
            </w:r>
            <w:r w:rsidRPr="00896C6E">
              <w:rPr>
                <w:rFonts w:ascii="Times New Roman" w:eastAsiaTheme="minorEastAsia" w:hAnsi="Times New Roman" w:cs="Times New Roman"/>
                <w:sz w:val="18"/>
                <w:szCs w:val="24"/>
                <w:lang w:val="en-US" w:eastAsia="en-GB"/>
              </w:rPr>
              <w:t>”). Be sure to also read the general terms and conditions.)</w:t>
            </w:r>
          </w:p>
        </w:tc>
        <w:tc>
          <w:tcPr>
            <w:tcW w:w="4435" w:type="dxa"/>
            <w:gridSpan w:val="2"/>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188" w:line="353" w:lineRule="exact"/>
              <w:ind w:left="108"/>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b/>
                <w:sz w:val="18"/>
                <w:szCs w:val="24"/>
                <w:lang w:val="en-US" w:eastAsia="en-GB"/>
              </w:rPr>
              <w:t>HSBC Amanah Malaysia Berhad (Bank)</w:t>
            </w:r>
            <w:r w:rsidRPr="00896C6E">
              <w:rPr>
                <w:rFonts w:ascii="Times New Roman" w:eastAsiaTheme="minorEastAsia" w:hAnsi="Times New Roman" w:cs="Times New Roman"/>
                <w:b/>
                <w:sz w:val="18"/>
                <w:szCs w:val="24"/>
                <w:lang w:val="en-US" w:eastAsia="en-GB"/>
              </w:rPr>
              <w:br/>
              <w:t>Standby Documentary Credit-i (SDC-i)</w:t>
            </w:r>
            <w:r w:rsidRPr="00896C6E">
              <w:rPr>
                <w:rFonts w:ascii="Times New Roman" w:eastAsiaTheme="minorEastAsia" w:hAnsi="Times New Roman" w:cs="Times New Roman"/>
                <w:b/>
                <w:sz w:val="18"/>
                <w:szCs w:val="24"/>
                <w:lang w:val="en-US" w:eastAsia="en-GB"/>
              </w:rPr>
              <w:br/>
            </w:r>
            <w:r w:rsidRPr="00896C6E">
              <w:rPr>
                <w:rFonts w:ascii="Times New Roman" w:eastAsiaTheme="minorEastAsia" w:hAnsi="Times New Roman" w:cs="Times New Roman"/>
                <w:sz w:val="18"/>
                <w:szCs w:val="24"/>
                <w:lang w:val="en-US" w:eastAsia="en-GB"/>
              </w:rPr>
              <w:t>&lt;Date&gt;</w:t>
            </w:r>
          </w:p>
        </w:tc>
      </w:tr>
      <w:tr w:rsidR="00896C6E" w:rsidRPr="00896C6E" w:rsidTr="00896C6E">
        <w:trPr>
          <w:trHeight w:hRule="exact" w:val="225"/>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1"/>
              </w:numPr>
              <w:kinsoku w:val="0"/>
              <w:overflowPunct w:val="0"/>
              <w:autoSpaceDE w:val="0"/>
              <w:autoSpaceDN w:val="0"/>
              <w:adjustRightInd w:val="0"/>
              <w:spacing w:after="0" w:line="199"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What is this product about?</w:t>
            </w:r>
          </w:p>
        </w:tc>
      </w:tr>
      <w:tr w:rsidR="00896C6E" w:rsidRPr="00896C6E" w:rsidTr="0046267B">
        <w:trPr>
          <w:trHeight w:hRule="exact" w:val="2814"/>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widowControl w:val="0"/>
              <w:kinsoku w:val="0"/>
              <w:overflowPunct w:val="0"/>
              <w:spacing w:after="198" w:line="206" w:lineRule="exact"/>
              <w:ind w:left="72" w:right="108"/>
              <w:jc w:val="both"/>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The SDC-i is a type of documentary credit-i that is issued to cover non-performance by the customer where payment is made against presentation of documents. SDC-i can be financial related or transaction related.</w:t>
            </w:r>
          </w:p>
          <w:p w:rsidR="00B366CE" w:rsidRPr="00896C6E" w:rsidRDefault="00B366CE" w:rsidP="00896C6E">
            <w:pPr>
              <w:widowControl w:val="0"/>
              <w:kinsoku w:val="0"/>
              <w:overflowPunct w:val="0"/>
              <w:spacing w:after="198" w:line="206" w:lineRule="exact"/>
              <w:ind w:left="72" w:right="108"/>
              <w:jc w:val="both"/>
              <w:textAlignment w:val="baseline"/>
              <w:rPr>
                <w:rFonts w:ascii="Times New Roman" w:eastAsiaTheme="minorEastAsia" w:hAnsi="Times New Roman" w:cs="Times New Roman"/>
                <w:sz w:val="18"/>
                <w:szCs w:val="24"/>
                <w:lang w:val="en-US" w:eastAsia="en-GB"/>
              </w:rPr>
            </w:pPr>
            <w:r w:rsidRPr="00B366CE">
              <w:rPr>
                <w:rFonts w:ascii="Times New Roman" w:eastAsiaTheme="minorEastAsia" w:hAnsi="Times New Roman" w:cs="Times New Roman"/>
                <w:sz w:val="18"/>
                <w:szCs w:val="24"/>
                <w:lang w:val="en-US" w:eastAsia="en-GB"/>
              </w:rPr>
              <w:t>For urgent SDC</w:t>
            </w:r>
            <w:r w:rsidR="00A31E58">
              <w:rPr>
                <w:rFonts w:ascii="Times New Roman" w:eastAsiaTheme="minorEastAsia" w:hAnsi="Times New Roman" w:cs="Times New Roman"/>
                <w:sz w:val="18"/>
                <w:szCs w:val="24"/>
                <w:lang w:val="en-US" w:eastAsia="en-GB"/>
              </w:rPr>
              <w:t>-i</w:t>
            </w:r>
            <w:r w:rsidRPr="00B366CE">
              <w:rPr>
                <w:rFonts w:ascii="Times New Roman" w:eastAsiaTheme="minorEastAsia" w:hAnsi="Times New Roman" w:cs="Times New Roman"/>
                <w:sz w:val="18"/>
                <w:szCs w:val="24"/>
                <w:lang w:val="en-US" w:eastAsia="en-GB"/>
              </w:rPr>
              <w:t xml:space="preserve"> issuances, customers with or without a Trade facility may apply for this service by providing Bank with 100% cash cover/cash margin (Margin Payments) in the currency of the SDC-i.  All rights, title and profit in the Margin Payments will be vested in the Bank and any un-utilised amount of the Margin Payments shall be refunded to our customer after the SDC-i has been discharged and/or repaid in full.  This Margin Payments service is known as “SpeedyLC” and same day issuance (or 24 hour) service is available subject to the SDC-i application meeting the required terms and conditions such as submission of a complete set of documents and appropriate company  mandate is in place for the customer’s authorised signatories to place the Margin Payments for the service.  For our customers’ convenience, applications can be submitted via HSBCnet Internet Trade Services or physical application forms by uploading / attaching the Margin Payment Form to the SDC-i template/application form. Customers are advised to contact our Client Service Team for further details.</w:t>
            </w:r>
          </w:p>
        </w:tc>
      </w:tr>
      <w:tr w:rsidR="00896C6E" w:rsidRPr="00896C6E" w:rsidTr="00896C6E">
        <w:trPr>
          <w:trHeight w:hRule="exact" w:val="278"/>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1"/>
              </w:numPr>
              <w:kinsoku w:val="0"/>
              <w:overflowPunct w:val="0"/>
              <w:autoSpaceDE w:val="0"/>
              <w:autoSpaceDN w:val="0"/>
              <w:adjustRightInd w:val="0"/>
              <w:spacing w:after="42" w:line="205"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What is the Shariah concept applicable?</w:t>
            </w:r>
          </w:p>
        </w:tc>
      </w:tr>
      <w:tr w:rsidR="00896C6E" w:rsidRPr="00896C6E" w:rsidTr="00896C6E">
        <w:trPr>
          <w:trHeight w:hRule="exact" w:val="1872"/>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0" w:line="206" w:lineRule="exact"/>
              <w:ind w:left="72" w:right="144"/>
              <w:jc w:val="both"/>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The SDC-i is provided under the Shariah principle of Kafalah (Guarantee). Under this contract, the Bank becomes the guarantor of the customer’s performance of its obligations under an underlying contract by the issuance of the SDC-i in favour of the beneficiary. In the event of non-performance by the customer, the Bank will pay the beneficiary upon presentation of the required documents in accordance with the terms and conditions of the SDC-i, as proof of non</w:t>
            </w:r>
            <w:r w:rsidRPr="00896C6E">
              <w:rPr>
                <w:rFonts w:ascii="Times New Roman" w:eastAsiaTheme="minorEastAsia" w:hAnsi="Times New Roman" w:cs="Times New Roman"/>
                <w:sz w:val="18"/>
                <w:szCs w:val="24"/>
                <w:lang w:val="en-US" w:eastAsia="en-GB"/>
              </w:rPr>
              <w:softHyphen/>
              <w:t>performance of the contract by the customer.</w:t>
            </w:r>
          </w:p>
          <w:p w:rsidR="00896C6E" w:rsidRPr="00896C6E" w:rsidRDefault="00896C6E" w:rsidP="00896C6E">
            <w:pPr>
              <w:widowControl w:val="0"/>
              <w:kinsoku w:val="0"/>
              <w:overflowPunct w:val="0"/>
              <w:spacing w:before="207" w:after="194" w:line="206" w:lineRule="exact"/>
              <w:ind w:left="72" w:right="144"/>
              <w:jc w:val="both"/>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The underlying contract giving rise to the Customer’s obligations should not bear any elements that contravene Shariah principles.</w:t>
            </w:r>
          </w:p>
        </w:tc>
      </w:tr>
      <w:tr w:rsidR="00896C6E" w:rsidRPr="00896C6E" w:rsidTr="00896C6E">
        <w:trPr>
          <w:trHeight w:hRule="exact" w:val="216"/>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1"/>
              </w:numPr>
              <w:kinsoku w:val="0"/>
              <w:overflowPunct w:val="0"/>
              <w:autoSpaceDE w:val="0"/>
              <w:autoSpaceDN w:val="0"/>
              <w:adjustRightInd w:val="0"/>
              <w:spacing w:after="0" w:line="189"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What do I get from this product?</w:t>
            </w:r>
          </w:p>
        </w:tc>
      </w:tr>
      <w:tr w:rsidR="00896C6E" w:rsidRPr="00896C6E" w:rsidTr="00896C6E">
        <w:trPr>
          <w:trHeight w:hRule="exact" w:val="1315"/>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numPr>
                <w:ilvl w:val="0"/>
                <w:numId w:val="2"/>
              </w:numPr>
              <w:kinsoku w:val="0"/>
              <w:overflowPunct w:val="0"/>
              <w:autoSpaceDE w:val="0"/>
              <w:autoSpaceDN w:val="0"/>
              <w:adjustRightInd w:val="0"/>
              <w:spacing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Allows your company/business to expand into new markets</w:t>
            </w:r>
          </w:p>
          <w:p w:rsidR="00896C6E" w:rsidRPr="00896C6E" w:rsidRDefault="00896C6E" w:rsidP="00896C6E">
            <w:pPr>
              <w:widowControl w:val="0"/>
              <w:numPr>
                <w:ilvl w:val="0"/>
                <w:numId w:val="2"/>
              </w:numPr>
              <w:kinsoku w:val="0"/>
              <w:overflowPunct w:val="0"/>
              <w:autoSpaceDE w:val="0"/>
              <w:autoSpaceDN w:val="0"/>
              <w:adjustRightInd w:val="0"/>
              <w:spacing w:before="15"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Provides security to your counterparty by a reputable bank</w:t>
            </w:r>
          </w:p>
          <w:p w:rsidR="00896C6E" w:rsidRPr="00896C6E" w:rsidRDefault="00896C6E" w:rsidP="00896C6E">
            <w:pPr>
              <w:widowControl w:val="0"/>
              <w:numPr>
                <w:ilvl w:val="0"/>
                <w:numId w:val="2"/>
              </w:numPr>
              <w:kinsoku w:val="0"/>
              <w:overflowPunct w:val="0"/>
              <w:autoSpaceDE w:val="0"/>
              <w:autoSpaceDN w:val="0"/>
              <w:adjustRightInd w:val="0"/>
              <w:spacing w:before="15"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Facilitate open account trade business for your company</w:t>
            </w:r>
          </w:p>
          <w:p w:rsidR="00896C6E" w:rsidRPr="00896C6E" w:rsidRDefault="00896C6E" w:rsidP="00896C6E">
            <w:pPr>
              <w:widowControl w:val="0"/>
              <w:numPr>
                <w:ilvl w:val="0"/>
                <w:numId w:val="2"/>
              </w:numPr>
              <w:kinsoku w:val="0"/>
              <w:overflowPunct w:val="0"/>
              <w:autoSpaceDE w:val="0"/>
              <w:autoSpaceDN w:val="0"/>
              <w:adjustRightInd w:val="0"/>
              <w:spacing w:before="15" w:after="0" w:line="206" w:lineRule="exact"/>
              <w:ind w:right="108"/>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Flexibility to participate in any kind of legal contract relating to Shariah-compliant business activities internationally or locally</w:t>
            </w:r>
          </w:p>
          <w:p w:rsidR="00896C6E" w:rsidRPr="00896C6E" w:rsidRDefault="00896C6E" w:rsidP="00896C6E">
            <w:pPr>
              <w:widowControl w:val="0"/>
              <w:numPr>
                <w:ilvl w:val="0"/>
                <w:numId w:val="2"/>
              </w:numPr>
              <w:kinsoku w:val="0"/>
              <w:overflowPunct w:val="0"/>
              <w:autoSpaceDE w:val="0"/>
              <w:autoSpaceDN w:val="0"/>
              <w:adjustRightInd w:val="0"/>
              <w:spacing w:before="7" w:after="0" w:line="206"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Competitive commission rate on the facility value</w:t>
            </w:r>
          </w:p>
        </w:tc>
      </w:tr>
      <w:tr w:rsidR="00896C6E" w:rsidRPr="00896C6E" w:rsidTr="00896C6E">
        <w:trPr>
          <w:trHeight w:hRule="exact" w:val="221"/>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Pr="00896C6E" w:rsidRDefault="00896C6E" w:rsidP="00896C6E">
            <w:pPr>
              <w:widowControl w:val="0"/>
              <w:numPr>
                <w:ilvl w:val="0"/>
                <w:numId w:val="3"/>
              </w:numPr>
              <w:kinsoku w:val="0"/>
              <w:overflowPunct w:val="0"/>
              <w:autoSpaceDE w:val="0"/>
              <w:autoSpaceDN w:val="0"/>
              <w:adjustRightInd w:val="0"/>
              <w:spacing w:after="0" w:line="194" w:lineRule="exact"/>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What are my obligations?</w:t>
            </w:r>
          </w:p>
        </w:tc>
      </w:tr>
      <w:tr w:rsidR="00896C6E" w:rsidRPr="00896C6E" w:rsidTr="00896C6E">
        <w:trPr>
          <w:trHeight w:hRule="exact" w:val="629"/>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Your business/company will need to pay us the full SDC-i amount should there be a claim from the beneficiary, in accordance to the terms and conditions of the Facility Offer Letter issued for the SDC-i facility.</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3"/>
              </w:numPr>
              <w:kinsoku w:val="0"/>
              <w:overflowPunct w:val="0"/>
              <w:spacing w:after="0" w:line="194" w:lineRule="exact"/>
              <w:textAlignment w:val="baseline"/>
              <w:rPr>
                <w:b/>
                <w:sz w:val="18"/>
              </w:rPr>
            </w:pPr>
            <w:r>
              <w:rPr>
                <w:b/>
                <w:sz w:val="18"/>
              </w:rPr>
              <w:t>What are the fees and charges I have to pay?</w:t>
            </w:r>
          </w:p>
        </w:tc>
      </w:tr>
      <w:tr w:rsidR="00896C6E" w:rsidRPr="00896C6E" w:rsidTr="00896C6E">
        <w:trPr>
          <w:trHeight w:hRule="exact" w:val="1403"/>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line="206" w:lineRule="exact"/>
              <w:ind w:left="72" w:right="108"/>
              <w:jc w:val="both"/>
              <w:textAlignment w:val="baseline"/>
              <w:rPr>
                <w:i/>
                <w:sz w:val="18"/>
              </w:rPr>
            </w:pPr>
            <w:r>
              <w:rPr>
                <w:i/>
                <w:sz w:val="18"/>
              </w:rPr>
              <w:t>Note: The fees and charges for the items below are exclusive of any statutory – tax (“Tax”). Where Tax is chargeable on any of these items, the applicable Tax sum shall be imposed in addition to such fees and charges, and shall be payable by the customer.</w:t>
            </w:r>
          </w:p>
          <w:p w:rsidR="00896C6E" w:rsidRDefault="00896C6E" w:rsidP="00896C6E">
            <w:pPr>
              <w:kinsoku w:val="0"/>
              <w:overflowPunct w:val="0"/>
              <w:spacing w:before="121" w:line="179" w:lineRule="exact"/>
              <w:ind w:left="72"/>
              <w:textAlignment w:val="baseline"/>
              <w:rPr>
                <w:sz w:val="18"/>
              </w:rPr>
            </w:pPr>
            <w:r>
              <w:rPr>
                <w:sz w:val="18"/>
              </w:rPr>
              <w:t>Please refer to our schedule of tariff and charges at</w:t>
            </w:r>
            <w:hyperlink r:id="rId8" w:history="1">
              <w:r>
                <w:rPr>
                  <w:color w:val="0000FF"/>
                  <w:sz w:val="18"/>
                  <w:u w:val="single"/>
                </w:rPr>
                <w:t xml:space="preserve"> www.hsbcamanah.com.my </w:t>
              </w:r>
            </w:hyperlink>
            <w:r>
              <w:rPr>
                <w:sz w:val="18"/>
              </w:rPr>
              <w:t>for full list of charges. Key charges are as follows</w:t>
            </w:r>
          </w:p>
        </w:tc>
      </w:tr>
      <w:tr w:rsidR="00896C6E" w:rsidRPr="00896C6E" w:rsidTr="00896C6E">
        <w:trPr>
          <w:trHeight w:hRule="exact" w:val="5039"/>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b/>
                <w:sz w:val="18"/>
                <w:szCs w:val="24"/>
                <w:lang w:val="en-US" w:eastAsia="en-GB"/>
              </w:rPr>
            </w:pPr>
            <w:r w:rsidRPr="00896C6E">
              <w:rPr>
                <w:rFonts w:ascii="Times New Roman" w:eastAsiaTheme="minorEastAsia" w:hAnsi="Times New Roman" w:cs="Times New Roman"/>
                <w:b/>
                <w:sz w:val="18"/>
                <w:szCs w:val="24"/>
                <w:lang w:val="en-US" w:eastAsia="en-GB"/>
              </w:rPr>
              <w:t>Opening Commission**</w:t>
            </w:r>
          </w:p>
          <w:p w:rsidR="00896C6E" w:rsidRPr="00896C6E" w:rsidRDefault="00896C6E" w:rsidP="00896C6E">
            <w:pPr>
              <w:widowControl w:val="0"/>
              <w:numPr>
                <w:ilvl w:val="0"/>
                <w:numId w:val="4"/>
              </w:numPr>
              <w:kinsoku w:val="0"/>
              <w:overflowPunct w:val="0"/>
              <w:autoSpaceDE w:val="0"/>
              <w:autoSpaceDN w:val="0"/>
              <w:adjustRightInd w:val="0"/>
              <w:spacing w:before="32"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0.1% per month* (or part of month) on the credit</w:t>
            </w:r>
            <w:r>
              <w:rPr>
                <w:rFonts w:ascii="Times New Roman" w:eastAsiaTheme="minorEastAsia" w:hAnsi="Times New Roman" w:cs="Times New Roman"/>
                <w:sz w:val="18"/>
                <w:szCs w:val="24"/>
                <w:lang w:val="en-US" w:eastAsia="en-GB"/>
              </w:rPr>
              <w:t xml:space="preserve"> amount</w:t>
            </w:r>
          </w:p>
          <w:p w:rsidR="00896C6E" w:rsidRPr="00896C6E" w:rsidRDefault="00896C6E" w:rsidP="00896C6E">
            <w:pPr>
              <w:widowControl w:val="0"/>
              <w:numPr>
                <w:ilvl w:val="0"/>
                <w:numId w:val="4"/>
              </w:numPr>
              <w:kinsoku w:val="0"/>
              <w:overflowPunct w:val="0"/>
              <w:autoSpaceDE w:val="0"/>
              <w:autoSpaceDN w:val="0"/>
              <w:adjustRightInd w:val="0"/>
              <w:spacing w:before="10"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Min RM200</w:t>
            </w:r>
          </w:p>
          <w:p w:rsidR="00896C6E" w:rsidRPr="00896C6E" w:rsidRDefault="00896C6E" w:rsidP="00896C6E">
            <w:pPr>
              <w:widowControl w:val="0"/>
              <w:numPr>
                <w:ilvl w:val="0"/>
                <w:numId w:val="4"/>
              </w:numPr>
              <w:kinsoku w:val="0"/>
              <w:overflowPunct w:val="0"/>
              <w:autoSpaceDE w:val="0"/>
              <w:autoSpaceDN w:val="0"/>
              <w:adjustRightInd w:val="0"/>
              <w:spacing w:before="15" w:after="0" w:line="206" w:lineRule="exact"/>
              <w:ind w:right="36"/>
              <w:textAlignment w:val="baseline"/>
              <w:rPr>
                <w:rFonts w:ascii="Times New Roman" w:eastAsiaTheme="minorEastAsia" w:hAnsi="Times New Roman" w:cs="Times New Roman"/>
                <w:spacing w:val="-13"/>
                <w:sz w:val="18"/>
                <w:szCs w:val="24"/>
                <w:lang w:val="en-US" w:eastAsia="en-GB"/>
              </w:rPr>
            </w:pPr>
            <w:r w:rsidRPr="00896C6E">
              <w:rPr>
                <w:rFonts w:ascii="Times New Roman" w:eastAsiaTheme="minorEastAsia" w:hAnsi="Times New Roman" w:cs="Times New Roman"/>
                <w:spacing w:val="-13"/>
                <w:sz w:val="18"/>
                <w:szCs w:val="24"/>
                <w:lang w:val="en-US" w:eastAsia="en-GB"/>
              </w:rPr>
              <w:t>For account of beneficiary, charge in USD (min USD75)</w:t>
            </w:r>
          </w:p>
          <w:p w:rsid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b/>
                <w:sz w:val="18"/>
                <w:szCs w:val="24"/>
                <w:lang w:val="en-US" w:eastAsia="en-GB"/>
              </w:rPr>
            </w:pPr>
          </w:p>
          <w:p w:rsidR="00896C6E" w:rsidRDefault="00896C6E" w:rsidP="00896C6E">
            <w:pPr>
              <w:widowControl w:val="0"/>
              <w:kinsoku w:val="0"/>
              <w:overflowPunct w:val="0"/>
              <w:spacing w:after="203" w:line="206" w:lineRule="exact"/>
              <w:ind w:left="72" w:right="504"/>
              <w:textAlignment w:val="baseline"/>
              <w:rPr>
                <w:b/>
                <w:sz w:val="18"/>
              </w:rPr>
            </w:pPr>
            <w:r>
              <w:rPr>
                <w:b/>
                <w:sz w:val="18"/>
              </w:rPr>
              <w:t>Handling Fee</w:t>
            </w:r>
          </w:p>
          <w:p w:rsidR="00896C6E" w:rsidRPr="00896C6E" w:rsidRDefault="00896C6E" w:rsidP="00896C6E">
            <w:pPr>
              <w:pStyle w:val="ListParagraph"/>
              <w:widowControl w:val="0"/>
              <w:numPr>
                <w:ilvl w:val="0"/>
                <w:numId w:val="5"/>
              </w:numPr>
              <w:kinsoku w:val="0"/>
              <w:overflowPunct w:val="0"/>
              <w:spacing w:after="203" w:line="206" w:lineRule="exact"/>
              <w:ind w:right="504"/>
              <w:textAlignment w:val="baseline"/>
              <w:rPr>
                <w:rFonts w:ascii="Times New Roman" w:eastAsiaTheme="minorEastAsia" w:hAnsi="Times New Roman" w:cs="Times New Roman"/>
                <w:b/>
                <w:sz w:val="18"/>
                <w:szCs w:val="24"/>
                <w:lang w:val="en-US" w:eastAsia="en-GB"/>
              </w:rPr>
            </w:pPr>
            <w:r w:rsidRPr="00896C6E">
              <w:rPr>
                <w:spacing w:val="-2"/>
                <w:sz w:val="18"/>
              </w:rPr>
              <w:t>Min RM150 (Not applicable for SME customers)</w:t>
            </w:r>
          </w:p>
          <w:p w:rsidR="00896C6E" w:rsidRDefault="00896C6E" w:rsidP="00896C6E">
            <w:pPr>
              <w:widowControl w:val="0"/>
              <w:kinsoku w:val="0"/>
              <w:overflowPunct w:val="0"/>
              <w:spacing w:after="203" w:line="206" w:lineRule="exact"/>
              <w:ind w:right="504"/>
              <w:textAlignment w:val="baseline"/>
              <w:rPr>
                <w:spacing w:val="-2"/>
                <w:sz w:val="18"/>
              </w:rPr>
            </w:pPr>
            <w:r>
              <w:rPr>
                <w:b/>
                <w:spacing w:val="-2"/>
                <w:sz w:val="18"/>
              </w:rPr>
              <w:t>Cable Cost per DC-i (</w:t>
            </w:r>
            <w:r>
              <w:rPr>
                <w:spacing w:val="-2"/>
                <w:sz w:val="18"/>
              </w:rPr>
              <w:t>issued under SWIFT)</w:t>
            </w:r>
          </w:p>
          <w:p w:rsidR="00896C6E" w:rsidRPr="00896C6E" w:rsidRDefault="00896C6E" w:rsidP="00896C6E">
            <w:pPr>
              <w:widowControl w:val="0"/>
              <w:numPr>
                <w:ilvl w:val="0"/>
                <w:numId w:val="4"/>
              </w:numPr>
              <w:kinsoku w:val="0"/>
              <w:overflowPunct w:val="0"/>
              <w:autoSpaceDE w:val="0"/>
              <w:autoSpaceDN w:val="0"/>
              <w:adjustRightInd w:val="0"/>
              <w:spacing w:before="37"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Local – RM50 flat</w:t>
            </w:r>
          </w:p>
          <w:p w:rsidR="00896C6E" w:rsidRDefault="00896C6E" w:rsidP="00896C6E">
            <w:pPr>
              <w:widowControl w:val="0"/>
              <w:numPr>
                <w:ilvl w:val="0"/>
                <w:numId w:val="4"/>
              </w:numPr>
              <w:kinsoku w:val="0"/>
              <w:overflowPunct w:val="0"/>
              <w:autoSpaceDE w:val="0"/>
              <w:autoSpaceDN w:val="0"/>
              <w:adjustRightInd w:val="0"/>
              <w:spacing w:before="15" w:after="0" w:line="206" w:lineRule="exact"/>
              <w:ind w:right="36"/>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Overseas – RM100 flat</w:t>
            </w:r>
          </w:p>
          <w:p w:rsidR="002F547D" w:rsidRDefault="002F547D" w:rsidP="0046267B">
            <w:pPr>
              <w:widowControl w:val="0"/>
              <w:kinsoku w:val="0"/>
              <w:overflowPunct w:val="0"/>
              <w:autoSpaceDE w:val="0"/>
              <w:autoSpaceDN w:val="0"/>
              <w:adjustRightInd w:val="0"/>
              <w:spacing w:before="15" w:after="0" w:line="206" w:lineRule="exact"/>
              <w:ind w:left="72" w:right="36"/>
              <w:textAlignment w:val="baseline"/>
              <w:rPr>
                <w:rFonts w:ascii="Times New Roman" w:eastAsiaTheme="minorEastAsia" w:hAnsi="Times New Roman" w:cs="Times New Roman"/>
                <w:sz w:val="18"/>
                <w:szCs w:val="24"/>
                <w:lang w:val="en-US" w:eastAsia="en-GB"/>
              </w:rPr>
            </w:pPr>
          </w:p>
          <w:p w:rsidR="002F547D" w:rsidRPr="0046267B" w:rsidRDefault="002F547D" w:rsidP="0046267B">
            <w:pPr>
              <w:widowControl w:val="0"/>
              <w:kinsoku w:val="0"/>
              <w:overflowPunct w:val="0"/>
              <w:autoSpaceDE w:val="0"/>
              <w:autoSpaceDN w:val="0"/>
              <w:adjustRightInd w:val="0"/>
              <w:spacing w:before="15" w:after="0" w:line="206" w:lineRule="exact"/>
              <w:ind w:left="72" w:right="36"/>
              <w:textAlignment w:val="baseline"/>
              <w:rPr>
                <w:rFonts w:ascii="Times New Roman" w:eastAsiaTheme="minorEastAsia" w:hAnsi="Times New Roman" w:cs="Times New Roman"/>
                <w:b/>
                <w:sz w:val="18"/>
                <w:szCs w:val="24"/>
                <w:lang w:val="en-US" w:eastAsia="en-GB"/>
              </w:rPr>
            </w:pPr>
            <w:r w:rsidRPr="0046267B">
              <w:rPr>
                <w:rFonts w:ascii="Times New Roman" w:eastAsiaTheme="minorEastAsia" w:hAnsi="Times New Roman" w:cs="Times New Roman"/>
                <w:b/>
                <w:sz w:val="18"/>
                <w:szCs w:val="24"/>
                <w:lang w:val="en-US" w:eastAsia="en-GB"/>
              </w:rPr>
              <w:t>Marginal Payment handling fee for non-trade customer</w:t>
            </w:r>
          </w:p>
          <w:p w:rsidR="002F547D" w:rsidRPr="0046267B" w:rsidRDefault="002F547D" w:rsidP="0046267B">
            <w:pPr>
              <w:pStyle w:val="ListParagraph"/>
              <w:widowControl w:val="0"/>
              <w:numPr>
                <w:ilvl w:val="0"/>
                <w:numId w:val="5"/>
              </w:numPr>
              <w:kinsoku w:val="0"/>
              <w:overflowPunct w:val="0"/>
              <w:autoSpaceDE w:val="0"/>
              <w:autoSpaceDN w:val="0"/>
              <w:adjustRightInd w:val="0"/>
              <w:spacing w:before="15" w:after="0" w:line="206" w:lineRule="exact"/>
              <w:ind w:left="825" w:right="36"/>
              <w:textAlignment w:val="baseline"/>
              <w:rPr>
                <w:rFonts w:ascii="Times New Roman" w:eastAsiaTheme="minorEastAsia" w:hAnsi="Times New Roman" w:cs="Times New Roman"/>
                <w:sz w:val="18"/>
                <w:szCs w:val="24"/>
                <w:lang w:val="en-US" w:eastAsia="en-GB"/>
              </w:rPr>
            </w:pPr>
            <w:r>
              <w:rPr>
                <w:rFonts w:ascii="Times New Roman" w:eastAsiaTheme="minorEastAsia" w:hAnsi="Times New Roman" w:cs="Times New Roman"/>
                <w:sz w:val="18"/>
                <w:szCs w:val="24"/>
                <w:lang w:val="en-US" w:eastAsia="en-GB"/>
              </w:rPr>
              <w:t>Min RM150</w:t>
            </w:r>
          </w:p>
          <w:p w:rsidR="00896C6E" w:rsidRDefault="00896C6E" w:rsidP="00896C6E">
            <w:pPr>
              <w:widowControl w:val="0"/>
              <w:kinsoku w:val="0"/>
              <w:overflowPunct w:val="0"/>
              <w:spacing w:after="203" w:line="206" w:lineRule="exact"/>
              <w:ind w:right="504"/>
              <w:textAlignment w:val="baseline"/>
              <w:rPr>
                <w:rFonts w:ascii="Times New Roman" w:eastAsiaTheme="minorEastAsia" w:hAnsi="Times New Roman" w:cs="Times New Roman"/>
                <w:b/>
                <w:sz w:val="18"/>
                <w:szCs w:val="24"/>
                <w:lang w:val="en-US" w:eastAsia="en-GB"/>
              </w:rPr>
            </w:pPr>
          </w:p>
          <w:p w:rsidR="00896C6E" w:rsidRPr="00896C6E" w:rsidRDefault="00896C6E" w:rsidP="00896C6E">
            <w:pPr>
              <w:widowControl w:val="0"/>
              <w:kinsoku w:val="0"/>
              <w:overflowPunct w:val="0"/>
              <w:spacing w:after="203" w:line="206" w:lineRule="exact"/>
              <w:ind w:right="504"/>
              <w:textAlignment w:val="baseline"/>
              <w:rPr>
                <w:rFonts w:ascii="Times New Roman" w:eastAsiaTheme="minorEastAsia" w:hAnsi="Times New Roman" w:cs="Times New Roman"/>
                <w:i/>
                <w:sz w:val="18"/>
                <w:szCs w:val="24"/>
                <w:lang w:val="en-US" w:eastAsia="en-GB"/>
              </w:rPr>
            </w:pPr>
            <w:r w:rsidRPr="00896C6E">
              <w:rPr>
                <w:rFonts w:ascii="Times New Roman" w:eastAsiaTheme="minorEastAsia" w:hAnsi="Times New Roman" w:cs="Times New Roman"/>
                <w:b/>
                <w:i/>
                <w:sz w:val="18"/>
                <w:szCs w:val="24"/>
                <w:lang w:val="en-US" w:eastAsia="en-GB"/>
              </w:rPr>
              <w:t>Remarks:</w:t>
            </w:r>
            <w:r>
              <w:rPr>
                <w:rFonts w:ascii="Times New Roman" w:eastAsiaTheme="minorEastAsia" w:hAnsi="Times New Roman" w:cs="Times New Roman"/>
                <w:b/>
                <w:sz w:val="18"/>
                <w:szCs w:val="24"/>
                <w:lang w:val="en-US" w:eastAsia="en-GB"/>
              </w:rPr>
              <w:t xml:space="preserve"> </w:t>
            </w:r>
            <w:r w:rsidRPr="00896C6E">
              <w:rPr>
                <w:rFonts w:ascii="Times New Roman" w:eastAsiaTheme="minorEastAsia" w:hAnsi="Times New Roman" w:cs="Times New Roman"/>
                <w:i/>
                <w:sz w:val="18"/>
                <w:szCs w:val="24"/>
                <w:lang w:val="en-US" w:eastAsia="en-GB"/>
              </w:rPr>
              <w:t>(*) Opening commission is calculated at a prescribed rate from the date of SDC-i issuance and payable in full at time to of establishment of all SDC-is. If there is any subsequent extension the expiry date / increase in the amount of the SDC-I, additional commission will be imposed based on the external period or the increased SDC-I amount and will be collected when the SC-I is extended or the amount increased.</w:t>
            </w:r>
          </w:p>
          <w:p w:rsidR="00896C6E" w:rsidRPr="00896C6E" w:rsidRDefault="00896C6E" w:rsidP="00896C6E">
            <w:pPr>
              <w:widowControl w:val="0"/>
              <w:kinsoku w:val="0"/>
              <w:overflowPunct w:val="0"/>
              <w:spacing w:after="203" w:line="206" w:lineRule="exact"/>
              <w:ind w:right="504"/>
              <w:textAlignment w:val="baseline"/>
              <w:rPr>
                <w:rFonts w:ascii="Times New Roman" w:eastAsiaTheme="minorEastAsia" w:hAnsi="Times New Roman" w:cs="Times New Roman"/>
                <w:i/>
                <w:sz w:val="18"/>
                <w:szCs w:val="24"/>
                <w:lang w:val="en-US" w:eastAsia="en-GB"/>
              </w:rPr>
            </w:pPr>
            <w:r w:rsidRPr="00896C6E">
              <w:rPr>
                <w:rFonts w:ascii="Times New Roman" w:eastAsiaTheme="minorEastAsia" w:hAnsi="Times New Roman" w:cs="Times New Roman"/>
                <w:i/>
                <w:sz w:val="18"/>
                <w:szCs w:val="24"/>
                <w:lang w:val="en-US" w:eastAsia="en-GB"/>
              </w:rPr>
              <w:t>(**) Applicable for SME customers only. Different rates as prescribed by the Bank are applicable for other customers.</w:t>
            </w:r>
          </w:p>
          <w:p w:rsidR="00896C6E" w:rsidRPr="00896C6E" w:rsidRDefault="00896C6E" w:rsidP="00896C6E">
            <w:pPr>
              <w:widowControl w:val="0"/>
              <w:kinsoku w:val="0"/>
              <w:overflowPunct w:val="0"/>
              <w:spacing w:after="203" w:line="206" w:lineRule="exact"/>
              <w:ind w:left="72" w:right="504"/>
              <w:textAlignment w:val="baseline"/>
              <w:rPr>
                <w:rFonts w:ascii="Times New Roman" w:eastAsiaTheme="minorEastAsia" w:hAnsi="Times New Roman" w:cs="Times New Roman"/>
                <w:sz w:val="18"/>
                <w:szCs w:val="24"/>
                <w:lang w:val="en-US" w:eastAsia="en-GB"/>
              </w:rPr>
            </w:pP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6"/>
              </w:numPr>
              <w:kinsoku w:val="0"/>
              <w:overflowPunct w:val="0"/>
              <w:spacing w:after="0" w:line="194" w:lineRule="exact"/>
              <w:textAlignment w:val="baseline"/>
              <w:rPr>
                <w:b/>
                <w:sz w:val="18"/>
              </w:rPr>
            </w:pPr>
            <w:r>
              <w:rPr>
                <w:b/>
                <w:sz w:val="18"/>
              </w:rPr>
              <w:t>What if I fail to fulfill my obligations?</w:t>
            </w:r>
          </w:p>
        </w:tc>
      </w:tr>
      <w:tr w:rsidR="00896C6E" w:rsidRPr="00896C6E" w:rsidTr="00896C6E">
        <w:trPr>
          <w:trHeight w:hRule="exact" w:val="721"/>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199" w:line="207" w:lineRule="exact"/>
              <w:ind w:left="144" w:right="108"/>
              <w:jc w:val="both"/>
              <w:textAlignment w:val="baseline"/>
              <w:rPr>
                <w:sz w:val="18"/>
              </w:rPr>
            </w:pPr>
            <w:r>
              <w:rPr>
                <w:sz w:val="18"/>
              </w:rPr>
              <w:t>If the guarantee amount has to be recovered by any process of law, all fees and expenses in connection with such recovery, including the Bank’s solicitor, fees and cost, shall be borne by the customer.</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6"/>
              </w:numPr>
              <w:kinsoku w:val="0"/>
              <w:overflowPunct w:val="0"/>
              <w:spacing w:after="0" w:line="194" w:lineRule="exact"/>
              <w:textAlignment w:val="baseline"/>
              <w:rPr>
                <w:b/>
                <w:sz w:val="18"/>
              </w:rPr>
            </w:pPr>
            <w:r>
              <w:rPr>
                <w:b/>
                <w:sz w:val="18"/>
              </w:rPr>
              <w:t>Do I need any takaful / insurance coverage?</w:t>
            </w:r>
          </w:p>
        </w:tc>
      </w:tr>
      <w:tr w:rsidR="00896C6E" w:rsidRPr="00896C6E" w:rsidTr="00896C6E">
        <w:trPr>
          <w:trHeight w:hRule="exact" w:val="835"/>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199" w:line="207" w:lineRule="exact"/>
              <w:ind w:left="144" w:right="108"/>
              <w:jc w:val="both"/>
              <w:textAlignment w:val="baseline"/>
              <w:rPr>
                <w:sz w:val="18"/>
              </w:rPr>
            </w:pPr>
            <w:r>
              <w:rPr>
                <w:sz w:val="18"/>
              </w:rPr>
              <w:t>Whilst you do not specifically need to take up any takaful / insurance coverage for this product, you may wish to consider taking up appropriate coverage to protect your goods / business such as Marine Cargo Insurance, Fire Commercial or business protection package. Please contact your Relationship Manager for further details.</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E061ED" w:rsidP="00896C6E">
            <w:pPr>
              <w:widowControl w:val="0"/>
              <w:numPr>
                <w:ilvl w:val="0"/>
                <w:numId w:val="6"/>
              </w:numPr>
              <w:kinsoku w:val="0"/>
              <w:overflowPunct w:val="0"/>
              <w:spacing w:after="0" w:line="189" w:lineRule="exact"/>
              <w:textAlignment w:val="baseline"/>
              <w:rPr>
                <w:b/>
                <w:sz w:val="18"/>
              </w:rPr>
            </w:pPr>
            <w:r>
              <w:rPr>
                <w:b/>
                <w:sz w:val="18"/>
              </w:rPr>
              <w:t xml:space="preserve">    </w:t>
            </w:r>
            <w:r w:rsidR="00896C6E">
              <w:rPr>
                <w:b/>
                <w:sz w:val="18"/>
              </w:rPr>
              <w:t>Do I need a guarantor or collateral?</w:t>
            </w:r>
          </w:p>
        </w:tc>
      </w:tr>
      <w:tr w:rsidR="00896C6E" w:rsidRPr="00896C6E" w:rsidTr="00896C6E">
        <w:trPr>
          <w:trHeight w:hRule="exact" w:val="439"/>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204" w:line="207" w:lineRule="exact"/>
              <w:ind w:left="144"/>
              <w:textAlignment w:val="baseline"/>
              <w:rPr>
                <w:sz w:val="18"/>
              </w:rPr>
            </w:pPr>
            <w:r>
              <w:rPr>
                <w:sz w:val="18"/>
              </w:rPr>
              <w:t>On a case to case basis depending on your payment capabilities and other credit considerations.</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E061ED" w:rsidP="00896C6E">
            <w:pPr>
              <w:widowControl w:val="0"/>
              <w:numPr>
                <w:ilvl w:val="0"/>
                <w:numId w:val="6"/>
              </w:numPr>
              <w:kinsoku w:val="0"/>
              <w:overflowPunct w:val="0"/>
              <w:spacing w:after="0" w:line="198" w:lineRule="exact"/>
              <w:textAlignment w:val="baseline"/>
              <w:rPr>
                <w:b/>
                <w:sz w:val="18"/>
              </w:rPr>
            </w:pPr>
            <w:r>
              <w:rPr>
                <w:b/>
                <w:sz w:val="18"/>
              </w:rPr>
              <w:t xml:space="preserve">    </w:t>
            </w:r>
            <w:r w:rsidR="00896C6E">
              <w:rPr>
                <w:b/>
                <w:sz w:val="18"/>
              </w:rPr>
              <w:t>What are the major risks?</w:t>
            </w:r>
          </w:p>
        </w:tc>
      </w:tr>
      <w:tr w:rsidR="00896C6E" w:rsidRPr="00896C6E" w:rsidTr="00896C6E">
        <w:trPr>
          <w:trHeight w:hRule="exact" w:val="548"/>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after="190" w:line="207" w:lineRule="exact"/>
              <w:ind w:left="144" w:right="108"/>
              <w:jc w:val="both"/>
              <w:textAlignment w:val="baseline"/>
              <w:rPr>
                <w:sz w:val="18"/>
              </w:rPr>
            </w:pPr>
            <w:r>
              <w:rPr>
                <w:sz w:val="18"/>
              </w:rPr>
              <w:t>Customers may be subject to the risk of fraudulent claims or frivolous claims by the beneficiary as clauses in the SDC-i may enable a claim from the beneficiary to be undisputed.</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7"/>
              </w:numPr>
              <w:kinsoku w:val="0"/>
              <w:overflowPunct w:val="0"/>
              <w:spacing w:after="0" w:line="185" w:lineRule="exact"/>
              <w:textAlignment w:val="baseline"/>
              <w:rPr>
                <w:b/>
                <w:sz w:val="18"/>
              </w:rPr>
            </w:pPr>
            <w:r>
              <w:rPr>
                <w:b/>
                <w:sz w:val="18"/>
              </w:rPr>
              <w:t>What do I need to do if there are changes to my contact details?</w:t>
            </w:r>
          </w:p>
        </w:tc>
      </w:tr>
      <w:tr w:rsidR="00896C6E" w:rsidRPr="00896C6E" w:rsidTr="00896C6E">
        <w:trPr>
          <w:trHeight w:hRule="exact" w:val="999"/>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line="207" w:lineRule="exact"/>
              <w:ind w:left="144"/>
              <w:textAlignment w:val="baseline"/>
              <w:rPr>
                <w:sz w:val="18"/>
              </w:rPr>
            </w:pPr>
            <w:r>
              <w:rPr>
                <w:sz w:val="18"/>
              </w:rPr>
              <w:t>It is important that the Bank is informed of any change in your business/company’s contact details to ensure that all correspondences reach your business/company in a timely manner. Changes in your business/company’s contact</w:t>
            </w:r>
            <w:r>
              <w:rPr>
                <w:sz w:val="18"/>
              </w:rPr>
              <w:br/>
              <w:t>details should be formally submitted in writing and duly authorized by the company’s authorized signatories. Please contact your Relationship Manager for further clarification.</w:t>
            </w:r>
          </w:p>
        </w:tc>
      </w:tr>
      <w:tr w:rsidR="00896C6E" w:rsidRPr="00896C6E" w:rsidTr="00896C6E">
        <w:trPr>
          <w:trHeight w:hRule="exact" w:val="289"/>
        </w:trPr>
        <w:tc>
          <w:tcPr>
            <w:tcW w:w="8945" w:type="dxa"/>
            <w:gridSpan w:val="3"/>
            <w:tcBorders>
              <w:top w:val="single" w:sz="5" w:space="0" w:color="auto"/>
              <w:left w:val="single" w:sz="5" w:space="0" w:color="auto"/>
              <w:bottom w:val="single" w:sz="5" w:space="0" w:color="auto"/>
              <w:right w:val="single" w:sz="5" w:space="0" w:color="auto"/>
            </w:tcBorders>
            <w:vAlign w:val="center"/>
          </w:tcPr>
          <w:p w:rsidR="00896C6E" w:rsidRDefault="00896C6E" w:rsidP="00896C6E">
            <w:pPr>
              <w:widowControl w:val="0"/>
              <w:numPr>
                <w:ilvl w:val="0"/>
                <w:numId w:val="7"/>
              </w:numPr>
              <w:kinsoku w:val="0"/>
              <w:overflowPunct w:val="0"/>
              <w:spacing w:after="0" w:line="189" w:lineRule="exact"/>
              <w:textAlignment w:val="baseline"/>
              <w:rPr>
                <w:b/>
                <w:sz w:val="18"/>
              </w:rPr>
            </w:pPr>
            <w:r>
              <w:rPr>
                <w:b/>
                <w:sz w:val="18"/>
              </w:rPr>
              <w:t>Where can I get further information?</w:t>
            </w:r>
          </w:p>
        </w:tc>
      </w:tr>
      <w:tr w:rsidR="00896C6E" w:rsidRPr="00896C6E" w:rsidTr="00896C6E">
        <w:trPr>
          <w:trHeight w:hRule="exact" w:val="2252"/>
        </w:trPr>
        <w:tc>
          <w:tcPr>
            <w:tcW w:w="8945" w:type="dxa"/>
            <w:gridSpan w:val="3"/>
            <w:tcBorders>
              <w:top w:val="single" w:sz="5" w:space="0" w:color="auto"/>
              <w:left w:val="single" w:sz="5" w:space="0" w:color="auto"/>
              <w:bottom w:val="single" w:sz="5" w:space="0" w:color="auto"/>
              <w:right w:val="single" w:sz="5" w:space="0" w:color="auto"/>
            </w:tcBorders>
          </w:tcPr>
          <w:p w:rsidR="00896C6E" w:rsidRDefault="00896C6E" w:rsidP="00896C6E">
            <w:pPr>
              <w:kinsoku w:val="0"/>
              <w:overflowPunct w:val="0"/>
              <w:spacing w:line="207" w:lineRule="exact"/>
              <w:ind w:left="144" w:right="180"/>
              <w:textAlignment w:val="baseline"/>
              <w:rPr>
                <w:sz w:val="18"/>
              </w:rPr>
            </w:pPr>
            <w:r>
              <w:rPr>
                <w:sz w:val="18"/>
              </w:rPr>
              <w:t>If you have difficulties in making payments, you should contact your Relationship Manager earliest possible to discuss payment alternatives</w:t>
            </w:r>
          </w:p>
          <w:p w:rsidR="00896C6E" w:rsidRDefault="00896C6E" w:rsidP="00896C6E">
            <w:pPr>
              <w:kinsoku w:val="0"/>
              <w:overflowPunct w:val="0"/>
              <w:spacing w:before="206" w:line="207" w:lineRule="exact"/>
              <w:ind w:left="144"/>
              <w:textAlignment w:val="baseline"/>
              <w:rPr>
                <w:sz w:val="18"/>
              </w:rPr>
            </w:pPr>
            <w:r>
              <w:rPr>
                <w:sz w:val="18"/>
              </w:rPr>
              <w:t>If you wish to speak to our Trade representative, you may contact us at:</w:t>
            </w:r>
          </w:p>
          <w:p w:rsidR="00896C6E" w:rsidRDefault="00896C6E" w:rsidP="00896C6E">
            <w:pPr>
              <w:kinsoku w:val="0"/>
              <w:overflowPunct w:val="0"/>
              <w:spacing w:before="4" w:line="207" w:lineRule="exact"/>
              <w:ind w:left="144"/>
              <w:textAlignment w:val="baseline"/>
              <w:rPr>
                <w:sz w:val="18"/>
              </w:rPr>
            </w:pPr>
            <w:r>
              <w:rPr>
                <w:sz w:val="18"/>
              </w:rPr>
              <w:t>Client Service Team</w:t>
            </w:r>
          </w:p>
          <w:p w:rsidR="00896C6E" w:rsidRDefault="00896C6E" w:rsidP="00896C6E">
            <w:pPr>
              <w:kinsoku w:val="0"/>
              <w:overflowPunct w:val="0"/>
              <w:spacing w:line="207" w:lineRule="exact"/>
              <w:ind w:left="144"/>
              <w:textAlignment w:val="baseline"/>
              <w:rPr>
                <w:sz w:val="18"/>
              </w:rPr>
            </w:pPr>
            <w:r>
              <w:rPr>
                <w:sz w:val="18"/>
              </w:rPr>
              <w:t>Tel: 1-300-88-1099</w:t>
            </w:r>
          </w:p>
          <w:p w:rsidR="00896C6E" w:rsidRDefault="00896C6E" w:rsidP="00896C6E">
            <w:pPr>
              <w:kinsoku w:val="0"/>
              <w:overflowPunct w:val="0"/>
              <w:spacing w:line="207" w:lineRule="exact"/>
              <w:ind w:left="144" w:right="180"/>
              <w:textAlignment w:val="baseline"/>
              <w:rPr>
                <w:sz w:val="18"/>
              </w:rPr>
            </w:pPr>
            <w:r>
              <w:rPr>
                <w:sz w:val="18"/>
              </w:rPr>
              <w:t>Email:</w:t>
            </w:r>
            <w:hyperlink r:id="rId9" w:history="1">
              <w:r>
                <w:rPr>
                  <w:color w:val="0000FF"/>
                  <w:sz w:val="18"/>
                  <w:u w:val="single"/>
                </w:rPr>
                <w:t xml:space="preserve"> gtrf.client.services.my@hsbc.com.my</w:t>
              </w:r>
            </w:hyperlink>
          </w:p>
          <w:p w:rsidR="00896C6E" w:rsidRDefault="00896C6E" w:rsidP="00896C6E">
            <w:pPr>
              <w:widowControl w:val="0"/>
              <w:tabs>
                <w:tab w:val="left" w:pos="7275"/>
              </w:tabs>
              <w:kinsoku w:val="0"/>
              <w:overflowPunct w:val="0"/>
              <w:spacing w:after="0" w:line="240" w:lineRule="auto"/>
              <w:textAlignment w:val="baseline"/>
              <w:rPr>
                <w:color w:val="0000FF"/>
                <w:sz w:val="18"/>
              </w:rPr>
            </w:pPr>
            <w:r>
              <w:rPr>
                <w:sz w:val="24"/>
              </w:rPr>
              <w:tab/>
            </w:r>
          </w:p>
        </w:tc>
      </w:tr>
      <w:tr w:rsidR="00896C6E" w:rsidTr="00896C6E">
        <w:trPr>
          <w:gridAfter w:val="1"/>
          <w:wAfter w:w="75" w:type="dxa"/>
          <w:trHeight w:hRule="exact" w:val="216"/>
        </w:trPr>
        <w:tc>
          <w:tcPr>
            <w:tcW w:w="8870" w:type="dxa"/>
            <w:gridSpan w:val="2"/>
            <w:tcBorders>
              <w:top w:val="single" w:sz="5" w:space="0" w:color="auto"/>
              <w:left w:val="single" w:sz="5" w:space="0" w:color="auto"/>
              <w:bottom w:val="single" w:sz="5" w:space="0" w:color="auto"/>
              <w:right w:val="single" w:sz="5" w:space="0" w:color="auto"/>
            </w:tcBorders>
            <w:vAlign w:val="center"/>
          </w:tcPr>
          <w:p w:rsidR="00896C6E" w:rsidRDefault="00E061ED" w:rsidP="00E061ED">
            <w:pPr>
              <w:widowControl w:val="0"/>
              <w:kinsoku w:val="0"/>
              <w:overflowPunct w:val="0"/>
              <w:spacing w:after="0" w:line="194" w:lineRule="exact"/>
              <w:ind w:left="144"/>
              <w:textAlignment w:val="baseline"/>
              <w:rPr>
                <w:b/>
                <w:sz w:val="18"/>
              </w:rPr>
            </w:pPr>
            <w:r>
              <w:rPr>
                <w:b/>
                <w:sz w:val="18"/>
              </w:rPr>
              <w:t xml:space="preserve">12.    </w:t>
            </w:r>
            <w:r w:rsidR="00896C6E">
              <w:rPr>
                <w:b/>
                <w:sz w:val="18"/>
              </w:rPr>
              <w:t>Where can I get assistance and redress?</w:t>
            </w:r>
          </w:p>
        </w:tc>
      </w:tr>
      <w:tr w:rsidR="00896C6E" w:rsidTr="00896C6E">
        <w:trPr>
          <w:gridAfter w:val="1"/>
          <w:wAfter w:w="75" w:type="dxa"/>
          <w:trHeight w:hRule="exact" w:val="3284"/>
        </w:trPr>
        <w:tc>
          <w:tcPr>
            <w:tcW w:w="8870" w:type="dxa"/>
            <w:gridSpan w:val="2"/>
            <w:tcBorders>
              <w:top w:val="single" w:sz="5" w:space="0" w:color="auto"/>
              <w:left w:val="single" w:sz="5" w:space="0" w:color="auto"/>
              <w:bottom w:val="single" w:sz="5" w:space="0" w:color="auto"/>
              <w:right w:val="single" w:sz="5" w:space="0" w:color="auto"/>
            </w:tcBorders>
          </w:tcPr>
          <w:p w:rsidR="00896C6E" w:rsidRDefault="00896C6E" w:rsidP="00896C6E">
            <w:pPr>
              <w:widowControl w:val="0"/>
              <w:numPr>
                <w:ilvl w:val="0"/>
                <w:numId w:val="8"/>
              </w:numPr>
              <w:kinsoku w:val="0"/>
              <w:overflowPunct w:val="0"/>
              <w:spacing w:before="41" w:after="0" w:line="312" w:lineRule="exact"/>
              <w:ind w:right="108"/>
              <w:textAlignment w:val="baseline"/>
              <w:rPr>
                <w:sz w:val="18"/>
              </w:rPr>
            </w:pPr>
            <w:r>
              <w:rPr>
                <w:sz w:val="18"/>
              </w:rPr>
              <w:t>If you have difficulties in making payments, you should contact us earliest possible to discuss payment alternatives. You may contact us at:</w:t>
            </w:r>
          </w:p>
          <w:p w:rsidR="00896C6E" w:rsidRDefault="00896C6E" w:rsidP="000374FC">
            <w:pPr>
              <w:kinsoku w:val="0"/>
              <w:overflowPunct w:val="0"/>
              <w:spacing w:before="220" w:line="207" w:lineRule="exact"/>
              <w:ind w:left="504"/>
              <w:textAlignment w:val="baseline"/>
              <w:rPr>
                <w:color w:val="FF0000"/>
                <w:sz w:val="18"/>
              </w:rPr>
            </w:pPr>
            <w:r>
              <w:rPr>
                <w:color w:val="FF0000"/>
                <w:sz w:val="18"/>
              </w:rPr>
              <w:t>[RM to fill up contact details: name, address, contact number and e-mail address]</w:t>
            </w:r>
          </w:p>
          <w:p w:rsidR="00896C6E" w:rsidRDefault="00896C6E" w:rsidP="00896C6E">
            <w:pPr>
              <w:widowControl w:val="0"/>
              <w:numPr>
                <w:ilvl w:val="0"/>
                <w:numId w:val="8"/>
              </w:numPr>
              <w:kinsoku w:val="0"/>
              <w:overflowPunct w:val="0"/>
              <w:spacing w:before="340" w:after="0" w:line="207" w:lineRule="exact"/>
              <w:textAlignment w:val="baseline"/>
              <w:rPr>
                <w:sz w:val="18"/>
              </w:rPr>
            </w:pPr>
            <w:r>
              <w:rPr>
                <w:sz w:val="18"/>
              </w:rPr>
              <w:t>If you wish to complain on the products or services provided by us, you may contact us at:</w:t>
            </w:r>
          </w:p>
          <w:p w:rsidR="00896C6E" w:rsidRDefault="00896C6E" w:rsidP="000374FC">
            <w:pPr>
              <w:kinsoku w:val="0"/>
              <w:overflowPunct w:val="0"/>
              <w:spacing w:before="225" w:line="207" w:lineRule="exact"/>
              <w:ind w:left="504"/>
              <w:textAlignment w:val="baseline"/>
              <w:rPr>
                <w:sz w:val="18"/>
              </w:rPr>
            </w:pPr>
            <w:r>
              <w:rPr>
                <w:sz w:val="18"/>
              </w:rPr>
              <w:t>Customer Experience Team</w:t>
            </w:r>
          </w:p>
          <w:p w:rsidR="00896C6E" w:rsidRDefault="00896C6E" w:rsidP="000374FC">
            <w:pPr>
              <w:kinsoku w:val="0"/>
              <w:overflowPunct w:val="0"/>
              <w:spacing w:line="207" w:lineRule="exact"/>
              <w:ind w:left="504"/>
              <w:textAlignment w:val="baseline"/>
              <w:rPr>
                <w:sz w:val="18"/>
              </w:rPr>
            </w:pPr>
            <w:r>
              <w:rPr>
                <w:sz w:val="18"/>
              </w:rPr>
              <w:t>HSBC Bank Malaysia Berhad</w:t>
            </w:r>
          </w:p>
          <w:p w:rsidR="00896C6E" w:rsidRDefault="00896C6E" w:rsidP="000374FC">
            <w:pPr>
              <w:kinsoku w:val="0"/>
              <w:overflowPunct w:val="0"/>
              <w:spacing w:line="206" w:lineRule="exact"/>
              <w:ind w:left="504"/>
              <w:textAlignment w:val="baseline"/>
              <w:rPr>
                <w:sz w:val="18"/>
              </w:rPr>
            </w:pPr>
            <w:r>
              <w:rPr>
                <w:sz w:val="18"/>
              </w:rPr>
              <w:t>2 Leboh Ampang</w:t>
            </w:r>
          </w:p>
          <w:p w:rsidR="00896C6E" w:rsidRDefault="00896C6E" w:rsidP="000374FC">
            <w:pPr>
              <w:kinsoku w:val="0"/>
              <w:overflowPunct w:val="0"/>
              <w:spacing w:line="206" w:lineRule="exact"/>
              <w:ind w:left="504"/>
              <w:textAlignment w:val="baseline"/>
              <w:rPr>
                <w:sz w:val="18"/>
              </w:rPr>
            </w:pPr>
            <w:r>
              <w:rPr>
                <w:sz w:val="18"/>
              </w:rPr>
              <w:t>50100 Kuala Lumpur</w:t>
            </w:r>
          </w:p>
          <w:p w:rsidR="00896C6E" w:rsidRDefault="00896C6E" w:rsidP="000374FC">
            <w:pPr>
              <w:kinsoku w:val="0"/>
              <w:overflowPunct w:val="0"/>
              <w:spacing w:line="207" w:lineRule="exact"/>
              <w:ind w:left="504"/>
              <w:textAlignment w:val="baseline"/>
              <w:rPr>
                <w:sz w:val="18"/>
              </w:rPr>
            </w:pPr>
            <w:r>
              <w:rPr>
                <w:sz w:val="18"/>
              </w:rPr>
              <w:t>Malaysia</w:t>
            </w:r>
          </w:p>
          <w:p w:rsidR="00896C6E" w:rsidRDefault="00896C6E" w:rsidP="000374FC">
            <w:pPr>
              <w:kinsoku w:val="0"/>
              <w:overflowPunct w:val="0"/>
              <w:spacing w:before="4" w:line="207" w:lineRule="exact"/>
              <w:ind w:left="504"/>
              <w:textAlignment w:val="baseline"/>
              <w:rPr>
                <w:sz w:val="18"/>
              </w:rPr>
            </w:pPr>
            <w:r>
              <w:rPr>
                <w:sz w:val="18"/>
              </w:rPr>
              <w:t>Fax: +603-2179 1111 (9.00AM to 4.00PM – Monday to Friday)</w:t>
            </w:r>
          </w:p>
          <w:p w:rsidR="00896C6E" w:rsidRDefault="00896C6E" w:rsidP="000374FC">
            <w:pPr>
              <w:kinsoku w:val="0"/>
              <w:overflowPunct w:val="0"/>
              <w:spacing w:line="170" w:lineRule="exact"/>
              <w:ind w:left="504"/>
              <w:textAlignment w:val="baseline"/>
              <w:rPr>
                <w:color w:val="0000FF"/>
                <w:sz w:val="18"/>
              </w:rPr>
            </w:pPr>
            <w:r>
              <w:rPr>
                <w:sz w:val="18"/>
              </w:rPr>
              <w:t>E-mail:</w:t>
            </w:r>
            <w:hyperlink r:id="rId10" w:history="1">
              <w:r>
                <w:rPr>
                  <w:color w:val="0000FF"/>
                  <w:sz w:val="18"/>
                  <w:u w:val="single"/>
                </w:rPr>
                <w:t xml:space="preserve"> complaints@hsbc.com.my</w:t>
              </w:r>
            </w:hyperlink>
          </w:p>
        </w:tc>
      </w:tr>
      <w:tr w:rsidR="00896C6E" w:rsidTr="00896C6E">
        <w:trPr>
          <w:gridAfter w:val="1"/>
          <w:wAfter w:w="75" w:type="dxa"/>
          <w:trHeight w:val="1689"/>
        </w:trPr>
        <w:tc>
          <w:tcPr>
            <w:tcW w:w="8870" w:type="dxa"/>
            <w:gridSpan w:val="2"/>
            <w:tcBorders>
              <w:top w:val="single" w:sz="5" w:space="0" w:color="auto"/>
              <w:left w:val="single" w:sz="5" w:space="0" w:color="auto"/>
              <w:bottom w:val="single" w:sz="5" w:space="0" w:color="auto"/>
              <w:right w:val="single" w:sz="5" w:space="0" w:color="auto"/>
            </w:tcBorders>
          </w:tcPr>
          <w:p w:rsidR="00896C6E" w:rsidRDefault="00896C6E" w:rsidP="00896C6E">
            <w:pPr>
              <w:widowControl w:val="0"/>
              <w:numPr>
                <w:ilvl w:val="0"/>
                <w:numId w:val="9"/>
              </w:numPr>
              <w:tabs>
                <w:tab w:val="right" w:pos="8784"/>
              </w:tabs>
              <w:kinsoku w:val="0"/>
              <w:overflowPunct w:val="0"/>
              <w:spacing w:before="174" w:after="0" w:line="312" w:lineRule="exact"/>
              <w:ind w:right="108"/>
              <w:textAlignment w:val="baseline"/>
              <w:rPr>
                <w:sz w:val="18"/>
              </w:rPr>
            </w:pPr>
            <w:r>
              <w:rPr>
                <w:sz w:val="18"/>
              </w:rPr>
              <w:t>If your query or complain is not satisfactorily resolved by us, you may contact Bank Negara Malaysia LINK or</w:t>
            </w:r>
            <w:r>
              <w:rPr>
                <w:sz w:val="18"/>
              </w:rPr>
              <w:br/>
              <w:t>TELELINK at:</w:t>
            </w:r>
          </w:p>
          <w:p w:rsidR="00896C6E" w:rsidRDefault="00896C6E" w:rsidP="000374FC">
            <w:pPr>
              <w:kinsoku w:val="0"/>
              <w:overflowPunct w:val="0"/>
              <w:spacing w:before="225" w:line="207" w:lineRule="exact"/>
              <w:ind w:left="504"/>
              <w:textAlignment w:val="baseline"/>
              <w:rPr>
                <w:sz w:val="18"/>
              </w:rPr>
            </w:pPr>
            <w:r>
              <w:rPr>
                <w:sz w:val="18"/>
              </w:rPr>
              <w:t>Bank Negara Malaysia</w:t>
            </w:r>
          </w:p>
          <w:p w:rsidR="00896C6E" w:rsidRDefault="00896C6E" w:rsidP="000374FC">
            <w:pPr>
              <w:kinsoku w:val="0"/>
              <w:overflowPunct w:val="0"/>
              <w:spacing w:line="207" w:lineRule="exact"/>
              <w:ind w:left="504"/>
              <w:textAlignment w:val="baseline"/>
              <w:rPr>
                <w:sz w:val="18"/>
              </w:rPr>
            </w:pPr>
            <w:r>
              <w:rPr>
                <w:sz w:val="18"/>
              </w:rPr>
              <w:t>P.O. Box 10922</w:t>
            </w:r>
          </w:p>
          <w:p w:rsidR="00896C6E" w:rsidRDefault="00896C6E" w:rsidP="000374FC">
            <w:pPr>
              <w:kinsoku w:val="0"/>
              <w:overflowPunct w:val="0"/>
              <w:spacing w:line="206" w:lineRule="exact"/>
              <w:ind w:left="504"/>
              <w:textAlignment w:val="baseline"/>
              <w:rPr>
                <w:sz w:val="18"/>
              </w:rPr>
            </w:pPr>
            <w:r>
              <w:rPr>
                <w:sz w:val="18"/>
              </w:rPr>
              <w:t>50929 Kuala Lumpur.</w:t>
            </w:r>
          </w:p>
          <w:p w:rsidR="00896C6E" w:rsidRDefault="00896C6E" w:rsidP="000374FC">
            <w:pPr>
              <w:kinsoku w:val="0"/>
              <w:overflowPunct w:val="0"/>
              <w:spacing w:line="207" w:lineRule="exact"/>
              <w:ind w:left="504"/>
              <w:textAlignment w:val="baseline"/>
              <w:rPr>
                <w:sz w:val="18"/>
              </w:rPr>
            </w:pPr>
            <w:r>
              <w:rPr>
                <w:sz w:val="18"/>
              </w:rPr>
              <w:t>Tel: 1-300-88-5465 (1-300-88-LINK)</w:t>
            </w:r>
          </w:p>
          <w:p w:rsidR="00896C6E" w:rsidRDefault="00896C6E" w:rsidP="000374FC">
            <w:pPr>
              <w:kinsoku w:val="0"/>
              <w:overflowPunct w:val="0"/>
              <w:spacing w:line="206" w:lineRule="exact"/>
              <w:ind w:left="504"/>
              <w:textAlignment w:val="baseline"/>
              <w:rPr>
                <w:sz w:val="18"/>
              </w:rPr>
            </w:pPr>
            <w:r>
              <w:rPr>
                <w:sz w:val="18"/>
              </w:rPr>
              <w:t>(Overseas: 603-2174-1717)</w:t>
            </w:r>
          </w:p>
          <w:p w:rsidR="00896C6E" w:rsidRDefault="00896C6E" w:rsidP="000374FC">
            <w:pPr>
              <w:kinsoku w:val="0"/>
              <w:overflowPunct w:val="0"/>
              <w:spacing w:line="206" w:lineRule="exact"/>
              <w:ind w:left="504"/>
              <w:textAlignment w:val="baseline"/>
              <w:rPr>
                <w:sz w:val="18"/>
              </w:rPr>
            </w:pPr>
            <w:r>
              <w:rPr>
                <w:sz w:val="18"/>
              </w:rPr>
              <w:t>Fax: 603-21741515</w:t>
            </w:r>
          </w:p>
          <w:p w:rsidR="00896C6E" w:rsidRDefault="00896C6E" w:rsidP="00896C6E">
            <w:pPr>
              <w:widowControl w:val="0"/>
              <w:numPr>
                <w:ilvl w:val="0"/>
                <w:numId w:val="9"/>
              </w:numPr>
              <w:tabs>
                <w:tab w:val="right" w:pos="8784"/>
              </w:tabs>
              <w:kinsoku w:val="0"/>
              <w:overflowPunct w:val="0"/>
              <w:spacing w:before="174" w:after="0" w:line="312" w:lineRule="exact"/>
              <w:ind w:right="108"/>
              <w:textAlignment w:val="baseline"/>
              <w:rPr>
                <w:sz w:val="18"/>
              </w:rPr>
            </w:pPr>
            <w:r>
              <w:rPr>
                <w:sz w:val="18"/>
              </w:rPr>
              <w:t>E-mail :</w:t>
            </w:r>
            <w:hyperlink r:id="rId11" w:history="1">
              <w:r>
                <w:rPr>
                  <w:color w:val="0000FF"/>
                  <w:sz w:val="18"/>
                  <w:u w:val="single"/>
                </w:rPr>
                <w:t xml:space="preserve"> bnmtelelink@bnm.gov.my</w:t>
              </w:r>
            </w:hyperlink>
          </w:p>
          <w:p w:rsidR="00896C6E" w:rsidRDefault="00896C6E" w:rsidP="000374FC">
            <w:pPr>
              <w:kinsoku w:val="0"/>
              <w:overflowPunct w:val="0"/>
              <w:spacing w:line="207" w:lineRule="exact"/>
              <w:ind w:left="504"/>
              <w:textAlignment w:val="baseline"/>
              <w:rPr>
                <w:sz w:val="18"/>
              </w:rPr>
            </w:pPr>
            <w:r>
              <w:rPr>
                <w:sz w:val="18"/>
              </w:rPr>
              <w:t>SMS: 15888</w:t>
            </w:r>
          </w:p>
          <w:p w:rsidR="00896C6E" w:rsidRDefault="00896C6E" w:rsidP="000374FC">
            <w:pPr>
              <w:widowControl w:val="0"/>
              <w:kinsoku w:val="0"/>
              <w:overflowPunct w:val="0"/>
              <w:spacing w:after="3" w:line="206" w:lineRule="exact"/>
              <w:ind w:left="504"/>
              <w:textAlignment w:val="baseline"/>
              <w:rPr>
                <w:color w:val="0000FF"/>
                <w:sz w:val="18"/>
              </w:rPr>
            </w:pPr>
            <w:r>
              <w:rPr>
                <w:sz w:val="18"/>
              </w:rPr>
              <w:t>Operating Hours: 9:00AM to 5:00PM – Monday to Friday</w:t>
            </w:r>
          </w:p>
        </w:tc>
      </w:tr>
      <w:tr w:rsidR="00896C6E" w:rsidRPr="00896C6E" w:rsidTr="00896C6E">
        <w:trPr>
          <w:trHeight w:hRule="exact" w:val="285"/>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kinsoku w:val="0"/>
              <w:overflowPunct w:val="0"/>
              <w:spacing w:line="207" w:lineRule="exact"/>
              <w:ind w:left="825" w:right="180" w:hanging="825"/>
              <w:textAlignment w:val="baseline"/>
              <w:rPr>
                <w:sz w:val="18"/>
              </w:rPr>
            </w:pPr>
            <w:r>
              <w:rPr>
                <w:b/>
                <w:sz w:val="18"/>
              </w:rPr>
              <w:t xml:space="preserve"> 13. Other trade financing available?</w:t>
            </w:r>
          </w:p>
        </w:tc>
      </w:tr>
      <w:tr w:rsidR="00896C6E" w:rsidRPr="00896C6E" w:rsidTr="00896C6E">
        <w:trPr>
          <w:trHeight w:hRule="exact" w:val="1995"/>
        </w:trPr>
        <w:tc>
          <w:tcPr>
            <w:tcW w:w="8945" w:type="dxa"/>
            <w:gridSpan w:val="3"/>
            <w:tcBorders>
              <w:top w:val="single" w:sz="5" w:space="0" w:color="auto"/>
              <w:left w:val="single" w:sz="5" w:space="0" w:color="auto"/>
              <w:bottom w:val="single" w:sz="5" w:space="0" w:color="auto"/>
              <w:right w:val="single" w:sz="5" w:space="0" w:color="auto"/>
            </w:tcBorders>
          </w:tcPr>
          <w:p w:rsidR="00896C6E" w:rsidRPr="00896C6E" w:rsidRDefault="00896C6E" w:rsidP="00896C6E">
            <w:pPr>
              <w:widowControl w:val="0"/>
              <w:kinsoku w:val="0"/>
              <w:overflowPunct w:val="0"/>
              <w:spacing w:after="0" w:line="199" w:lineRule="exact"/>
              <w:ind w:left="72"/>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59264" behindDoc="0" locked="0" layoutInCell="0" allowOverlap="1" wp14:anchorId="4A84104B" wp14:editId="4771DADF">
                      <wp:simplePos x="0" y="0"/>
                      <wp:positionH relativeFrom="page">
                        <wp:posOffset>1060450</wp:posOffset>
                      </wp:positionH>
                      <wp:positionV relativeFrom="page">
                        <wp:posOffset>1325880</wp:posOffset>
                      </wp:positionV>
                      <wp:extent cx="565150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20C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104.4pt" to="528.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Ns2mKYhGB19CiiHRWOc/cd2hYJRYAucITE5b5wMRUgwh4R6lN0LK&#10;KLZUqC/xfL5IY4LTUrDgDGHOHvaVtOhEwrjEL1YFnscwq4+KRbCWE7a+2Z4IebXhcqkCHpQCdG7W&#10;dR5+LNLFer6e56N8MluP8rSuRx83VT6abbIP0/qprqo6+xmoZXnRCsa4CuyG2czyv9P+9kquU3Wf&#10;znsbkrfosV9AdvhH0lHLIN91EPaaXXZ20BjGMQbfnk6Y98c92I8PfPULAAD//wMAUEsDBBQABgAI&#10;AAAAIQDoT6R03gAAAAwBAAAPAAAAZHJzL2Rvd25yZXYueG1sTI9BS8QwEIXvgv8hjOBF3MQF61Kb&#10;LnXVSw/CtovntBnbapOUJLtb/71TEPT43jzevC/bzmZkJ/RhcFbC3UoAQ9s6PdhOwqF+vd0AC1FZ&#10;rUZnUcI3BtjmlxeZSrU72z2eqtgxKrEhVRL6GKeU89D2aFRYuQkt3T6cNyqS9B3XXp2p3Ix8LUTC&#10;jRosfejVhLse26/qaCQ0L0Wyq0t3eKvfm9LflJ9F9fQs5fXVXDwCizjHvzAs82k65LSpcUerAxtJ&#10;Jw/EEiWsxYYYloS4X6zm1+J5xv9D5D8AAAD//wMAUEsBAi0AFAAGAAgAAAAhALaDOJL+AAAA4QEA&#10;ABMAAAAAAAAAAAAAAAAAAAAAAFtDb250ZW50X1R5cGVzXS54bWxQSwECLQAUAAYACAAAACEAOP0h&#10;/9YAAACUAQAACwAAAAAAAAAAAAAAAAAvAQAAX3JlbHMvLnJlbHNQSwECLQAUAAYACAAAACEA0bEz&#10;AxECAAAoBAAADgAAAAAAAAAAAAAAAAAuAgAAZHJzL2Uyb0RvYy54bWxQSwECLQAUAAYACAAAACEA&#10;6E+kdN4AAAAMAQAADwAAAAAAAAAAAAAAAABrBAAAZHJzL2Rvd25yZXYueG1sUEsFBgAAAAAEAAQA&#10;8wAAAHYFAAAAAA==&#10;" o:allowincell="f" strokeweight=".7pt">
                      <w10:wrap type="square" anchorx="page" anchory="page"/>
                    </v:line>
                  </w:pict>
                </mc:Fallback>
              </mc:AlternateContent>
            </w: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60288" behindDoc="0" locked="0" layoutInCell="0" allowOverlap="1" wp14:anchorId="75E67DBE" wp14:editId="2672CEF9">
                      <wp:simplePos x="0" y="0"/>
                      <wp:positionH relativeFrom="page">
                        <wp:posOffset>1060450</wp:posOffset>
                      </wp:positionH>
                      <wp:positionV relativeFrom="page">
                        <wp:posOffset>2691765</wp:posOffset>
                      </wp:positionV>
                      <wp:extent cx="565150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76BBE"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211.95pt" to="52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X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Ns2mKYhGB19CiiHRWOc/cd2hYJRYAucITE5b5wMRUgwh4R6lN0LK&#10;KLZUqC/xfL5IY4LTUrDgDGHOHvaVtOhEwrjEL1YFnscwq4+KRbCWE7a+2Z4IebXhcqkCHpQCdG7W&#10;dR5+LNLFer6e56N8MluP8rSuRx83VT6abbIP0/qprqo6+xmoZXnRCsa4CuyG2czyv9P+9kquU3Wf&#10;znsbkrfosV9AdvhH0lHLIN91EPaaXXZ20BjGMQbfnk6Y98c92I8PfPULAAD//wMAUEsDBBQABgAI&#10;AAAAIQBt8tPY3wAAAAwBAAAPAAAAZHJzL2Rvd25yZXYueG1sTI/BTsMwEETvSPyDtUhcUOtQIIUQ&#10;pwqFXnJAIqk4O/GSBOJ1ZLtt+HscCQmOMzuafZNuJj2wI1rXGxJwvYyAITVG9dQK2Fe7xT0w5yUp&#10;ORhCAd/oYJOdn6UyUeZEb3gsfctCCblECui8HxPOXdOhlm5pRqRw+zBWSx+kbbmy8hTK9cBXURRz&#10;LXsKHzo54rbD5qs8aAH1Sx5vq8LsX6v3urBXxWdePj0LcXkx5Y/APE7+LwwzfkCHLDDV5kDKsSHo&#10;eB22eAG3q5sHYHMiuput+tfiWcr/j8h+AAAA//8DAFBLAQItABQABgAIAAAAIQC2gziS/gAAAOEB&#10;AAATAAAAAAAAAAAAAAAAAAAAAABbQ29udGVudF9UeXBlc10ueG1sUEsBAi0AFAAGAAgAAAAhADj9&#10;If/WAAAAlAEAAAsAAAAAAAAAAAAAAAAALwEAAF9yZWxzLy5yZWxzUEsBAi0AFAAGAAgAAAAhACAV&#10;te0RAgAAKAQAAA4AAAAAAAAAAAAAAAAALgIAAGRycy9lMm9Eb2MueG1sUEsBAi0AFAAGAAgAAAAh&#10;AG3y09jfAAAADAEAAA8AAAAAAAAAAAAAAAAAawQAAGRycy9kb3ducmV2LnhtbFBLBQYAAAAABAAE&#10;APMAAAB3BQAAAAA=&#10;" o:allowincell="f" strokeweight=".7pt">
                      <w10:wrap type="square" anchorx="page" anchory="page"/>
                    </v:line>
                  </w:pict>
                </mc:Fallback>
              </mc:AlternateContent>
            </w: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61312" behindDoc="0" locked="0" layoutInCell="0" allowOverlap="1" wp14:anchorId="1D7ADE22" wp14:editId="0DA87042">
                      <wp:simplePos x="0" y="0"/>
                      <wp:positionH relativeFrom="page">
                        <wp:posOffset>1060450</wp:posOffset>
                      </wp:positionH>
                      <wp:positionV relativeFrom="page">
                        <wp:posOffset>1325880</wp:posOffset>
                      </wp:positionV>
                      <wp:extent cx="0" cy="1365885"/>
                      <wp:effectExtent l="0" t="0" r="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9618"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5pt,104.4pt" to="83.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bHEgIAACgEAAAOAAAAZHJzL2Uyb0RvYy54bWysU8GO2jAQvVfqP1i+QxIWaIgIqyqBXmiL&#10;tNsPMLZDrDq2ZRsCqvrvHTuA2PZSVc3BGXtmnt/MPC+fz51EJ26d0KrE2TjFiCuqmVCHEn973Yxy&#10;jJwnihGpFS/xhTv8vHr/btmbgk90qyXjFgGIckVvStx6b4okcbTlHXFjbbgCZ6NtRzxs7SFhlvSA&#10;3slkkqbzpNeWGaspdw5O68GJVxG/aTj1X5vGcY9kiYGbj6uN6z6syWpJioMlphX0SoP8A4uOCAWX&#10;3qFq4gk6WvEHVCeo1U43fkx1l+imEZTHGqCaLP2tmpeWGB5rgeY4c2+T+3+w9MtpZ5FgJZ5gpEgH&#10;I9oKxdEsdKY3roCASu1sqI2e1YvZavrdIaWrlqgDjwxfLwbSspCRvEkJG2cAf99/1gxiyNHr2KZz&#10;Y7sACQ1A5ziNy30a/OwRHQ4pnGZP81meRz4JKW6Jxjr/iesOBaPEEjhHYHLaOh+IkOIWEu5ReiOk&#10;jMOWCvUlzvNFGhOcloIFZwhz9rCvpEUnEuQSv1gVeB7DrD4qFsFaTtj6ansi5GDD5VIFPCgF6Fyt&#10;QQ8/Fulina/z6Wg6ma9H07SuRx831XQ032QfZvVTXVV19jNQy6ZFKxjjKrC7aTOb/t3sr69kUNVd&#10;nfc2JG/RY7+A7O0fScdZhvENQthrdtnZ24xBjjH4+nSC3h/3YD8+8NUvAAAA//8DAFBLAwQUAAYA&#10;CAAAACEAuUfNcuAAAAALAQAADwAAAGRycy9kb3ducmV2LnhtbEyPwU7DMBBE70j8g7VIXBB1CCi0&#10;IU4VClxyQCKpenZikwTidWS7bfh7tlzKcWZHs/Oy9WxGdtDODxYF3C0iYBpbqwbsBGzrt9slMB8k&#10;Kjla1AJ+tId1fnmRyVTZI37oQxU6RiXoUymgD2FKOfdtr430CztppNundUYGkq7jyskjlZuRx1GU&#10;cCMHpA+9nPSm1+13tTcCmtci2dSl3b7Xu6Z0N+VXUT2/CHF9NRdPwIKewzkMp/k0HXLa1Ng9Ks9G&#10;0skjsQQBcbQkhlPiz2kEPMT3K+B5xv8z5L8AAAD//wMAUEsBAi0AFAAGAAgAAAAhALaDOJL+AAAA&#10;4QEAABMAAAAAAAAAAAAAAAAAAAAAAFtDb250ZW50X1R5cGVzXS54bWxQSwECLQAUAAYACAAAACEA&#10;OP0h/9YAAACUAQAACwAAAAAAAAAAAAAAAAAvAQAAX3JlbHMvLnJlbHNQSwECLQAUAAYACAAAACEA&#10;Q9KGxxICAAAoBAAADgAAAAAAAAAAAAAAAAAuAgAAZHJzL2Uyb0RvYy54bWxQSwECLQAUAAYACAAA&#10;ACEAuUfNcuAAAAALAQAADwAAAAAAAAAAAAAAAABsBAAAZHJzL2Rvd25yZXYueG1sUEsFBgAAAAAE&#10;AAQA8wAAAHkFAAAAAA==&#10;" o:allowincell="f" strokeweight=".7pt">
                      <w10:wrap type="square" anchorx="page" anchory="page"/>
                    </v:line>
                  </w:pict>
                </mc:Fallback>
              </mc:AlternateContent>
            </w:r>
            <w:r w:rsidRPr="00896C6E">
              <w:rPr>
                <w:rFonts w:ascii="Times New Roman" w:eastAsiaTheme="minorEastAsia" w:hAnsi="Times New Roman" w:cs="Times New Roman"/>
                <w:noProof/>
                <w:sz w:val="20"/>
                <w:szCs w:val="24"/>
                <w:lang w:val="en-US"/>
              </w:rPr>
              <mc:AlternateContent>
                <mc:Choice Requires="wps">
                  <w:drawing>
                    <wp:anchor distT="0" distB="0" distL="0" distR="0" simplePos="0" relativeHeight="251662336" behindDoc="0" locked="0" layoutInCell="0" allowOverlap="1" wp14:anchorId="11E74668" wp14:editId="7084C09F">
                      <wp:simplePos x="0" y="0"/>
                      <wp:positionH relativeFrom="page">
                        <wp:posOffset>6711950</wp:posOffset>
                      </wp:positionH>
                      <wp:positionV relativeFrom="page">
                        <wp:posOffset>1325880</wp:posOffset>
                      </wp:positionV>
                      <wp:extent cx="0" cy="1365885"/>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09BE"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5pt,104.4pt" to="52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rEAIAACg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Ro4TvTa1uAQyX3xtdGLvJF7xT5bpFUVYvlkQWGr1cNYamPiB9C/MZqwD/0nxUFH3xyKrTp&#10;0pjOQ0ID0CWocb2rwS4OkeGQwGn6tJjn+Tyg4+IWqI11n5jqkDfKSADnAIzPO+s8EVzcXHweqbZc&#10;iCC2kKgvozxfJiHAKsGpv/Ru1hwPlTDojP24hG/M++Bm1EnSANYyTDej7TAXgw3JhfR4UArQGa1h&#10;Hn4sk+Um3+TZJJstNpMsqevJx22VTRbb9MO8fqqrqk5/emppVrScUiY9u9tsptnfaT++kmGq7tN5&#10;b0P8iB76BWRv/0A6aOnlGwbhoOh1b24awzgG5/Hp+Hl/uwf77QNf/wIAAP//AwBQSwMEFAAGAAgA&#10;AAAhAEZr0+PhAAAADQEAAA8AAABkcnMvZG93bnJldi54bWxMj8FOwzAQRO9I/IO1SFwQtQlQSohT&#10;hQKXHJBIKs5OvCSBeB3Zbhv+Hlcc4Dizo9l52Xo2I9uj84MlCVcLAQyptXqgTsK2frlcAfNBkVaj&#10;JZTwjR7W+elJplJtD/SG+yp0LJaQT5WEPoQp5dy3PRrlF3ZCircP64wKUbqOa6cOsdyMPBFiyY0a&#10;KH7o1YSbHtuvamckNM/FclOXdvtavzeluyg/i+rxScrzs7l4ABZwDn9hOM6P0yGPmxq7I+3ZGLW4&#10;vYswQUIiVhHiGPm1Ggk3yfU98Dzj/ynyHwAAAP//AwBQSwECLQAUAAYACAAAACEAtoM4kv4AAADh&#10;AQAAEwAAAAAAAAAAAAAAAAAAAAAAW0NvbnRlbnRfVHlwZXNdLnhtbFBLAQItABQABgAIAAAAIQA4&#10;/SH/1gAAAJQBAAALAAAAAAAAAAAAAAAAAC8BAABfcmVscy8ucmVsc1BLAQItABQABgAIAAAAIQCo&#10;n/4rEAIAACgEAAAOAAAAAAAAAAAAAAAAAC4CAABkcnMvZTJvRG9jLnhtbFBLAQItABQABgAIAAAA&#10;IQBGa9Pj4QAAAA0BAAAPAAAAAAAAAAAAAAAAAGoEAABkcnMvZG93bnJldi54bWxQSwUGAAAAAAQA&#10;BADzAAAAeAUAAAAA&#10;" o:allowincell="f" strokeweight=".7pt">
                      <w10:wrap type="square" anchorx="page" anchory="page"/>
                    </v:line>
                  </w:pict>
                </mc:Fallback>
              </mc:AlternateContent>
            </w:r>
            <w:r w:rsidRPr="00896C6E">
              <w:rPr>
                <w:rFonts w:ascii="Times New Roman" w:eastAsiaTheme="minorEastAsia" w:hAnsi="Times New Roman" w:cs="Times New Roman"/>
                <w:sz w:val="18"/>
                <w:szCs w:val="24"/>
                <w:lang w:val="en-US" w:eastAsia="en-GB"/>
              </w:rPr>
              <w:t>Other trade financing available are</w:t>
            </w:r>
          </w:p>
          <w:p w:rsidR="00896C6E" w:rsidRPr="00896C6E" w:rsidRDefault="00896C6E" w:rsidP="00896C6E">
            <w:pPr>
              <w:widowControl w:val="0"/>
              <w:numPr>
                <w:ilvl w:val="0"/>
                <w:numId w:val="11"/>
              </w:numPr>
              <w:kinsoku w:val="0"/>
              <w:overflowPunct w:val="0"/>
              <w:autoSpaceDE w:val="0"/>
              <w:autoSpaceDN w:val="0"/>
              <w:adjustRightInd w:val="0"/>
              <w:spacing w:after="0" w:line="218"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Trust Receipt-i</w:t>
            </w:r>
          </w:p>
          <w:p w:rsidR="00896C6E" w:rsidRPr="00896C6E" w:rsidRDefault="00896C6E" w:rsidP="00896C6E">
            <w:pPr>
              <w:widowControl w:val="0"/>
              <w:numPr>
                <w:ilvl w:val="0"/>
                <w:numId w:val="11"/>
              </w:numPr>
              <w:kinsoku w:val="0"/>
              <w:overflowPunct w:val="0"/>
              <w:autoSpaceDE w:val="0"/>
              <w:autoSpaceDN w:val="0"/>
              <w:adjustRightInd w:val="0"/>
              <w:spacing w:after="0" w:line="221"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Bills Purchased-i</w:t>
            </w:r>
          </w:p>
          <w:p w:rsidR="00896C6E" w:rsidRPr="00896C6E" w:rsidRDefault="00896C6E" w:rsidP="00896C6E">
            <w:pPr>
              <w:widowControl w:val="0"/>
              <w:numPr>
                <w:ilvl w:val="0"/>
                <w:numId w:val="11"/>
              </w:numPr>
              <w:kinsoku w:val="0"/>
              <w:overflowPunct w:val="0"/>
              <w:autoSpaceDE w:val="0"/>
              <w:autoSpaceDN w:val="0"/>
              <w:adjustRightInd w:val="0"/>
              <w:spacing w:after="0" w:line="221" w:lineRule="exact"/>
              <w:textAlignment w:val="baseline"/>
              <w:rPr>
                <w:rFonts w:ascii="Times New Roman" w:eastAsiaTheme="minorEastAsia" w:hAnsi="Times New Roman" w:cs="Times New Roman"/>
                <w:sz w:val="18"/>
                <w:szCs w:val="24"/>
                <w:lang w:val="en-US" w:eastAsia="en-GB"/>
              </w:rPr>
            </w:pPr>
            <w:r w:rsidRPr="00896C6E">
              <w:rPr>
                <w:rFonts w:ascii="Times New Roman" w:eastAsiaTheme="minorEastAsia" w:hAnsi="Times New Roman" w:cs="Times New Roman"/>
                <w:sz w:val="18"/>
                <w:szCs w:val="24"/>
                <w:lang w:val="en-US" w:eastAsia="en-GB"/>
              </w:rPr>
              <w:t>Accepted Bills-i (Import and Export)</w:t>
            </w:r>
          </w:p>
          <w:p w:rsidR="00896C6E" w:rsidRPr="00896C6E" w:rsidRDefault="00896C6E" w:rsidP="00896C6E">
            <w:pPr>
              <w:widowControl w:val="0"/>
              <w:numPr>
                <w:ilvl w:val="0"/>
                <w:numId w:val="11"/>
              </w:numPr>
              <w:kinsoku w:val="0"/>
              <w:overflowPunct w:val="0"/>
              <w:autoSpaceDE w:val="0"/>
              <w:autoSpaceDN w:val="0"/>
              <w:adjustRightInd w:val="0"/>
              <w:spacing w:after="0" w:line="220"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Clean Import Financing-i</w:t>
            </w:r>
          </w:p>
          <w:p w:rsidR="00896C6E" w:rsidRPr="00896C6E" w:rsidRDefault="00896C6E" w:rsidP="00896C6E">
            <w:pPr>
              <w:widowControl w:val="0"/>
              <w:numPr>
                <w:ilvl w:val="0"/>
                <w:numId w:val="11"/>
              </w:numPr>
              <w:kinsoku w:val="0"/>
              <w:overflowPunct w:val="0"/>
              <w:autoSpaceDE w:val="0"/>
              <w:autoSpaceDN w:val="0"/>
              <w:adjustRightInd w:val="0"/>
              <w:spacing w:after="0" w:line="225" w:lineRule="exact"/>
              <w:textAlignment w:val="baseline"/>
              <w:rPr>
                <w:rFonts w:ascii="Times New Roman" w:eastAsiaTheme="minorEastAsia" w:hAnsi="Times New Roman" w:cs="Times New Roman"/>
                <w:spacing w:val="-1"/>
                <w:sz w:val="18"/>
                <w:szCs w:val="24"/>
                <w:lang w:val="en-US" w:eastAsia="en-GB"/>
              </w:rPr>
            </w:pPr>
            <w:r w:rsidRPr="00896C6E">
              <w:rPr>
                <w:rFonts w:ascii="Times New Roman" w:eastAsiaTheme="minorEastAsia" w:hAnsi="Times New Roman" w:cs="Times New Roman"/>
                <w:spacing w:val="-1"/>
                <w:sz w:val="18"/>
                <w:szCs w:val="24"/>
                <w:lang w:val="en-US" w:eastAsia="en-GB"/>
              </w:rPr>
              <w:t>Clean Export Financing-i</w:t>
            </w:r>
          </w:p>
          <w:p w:rsidR="00896C6E" w:rsidRDefault="00896C6E" w:rsidP="00896C6E">
            <w:pPr>
              <w:kinsoku w:val="0"/>
              <w:overflowPunct w:val="0"/>
              <w:spacing w:line="207" w:lineRule="exact"/>
              <w:ind w:right="180"/>
              <w:textAlignment w:val="baseline"/>
              <w:rPr>
                <w:sz w:val="18"/>
              </w:rPr>
            </w:pPr>
            <w:r w:rsidRPr="00896C6E">
              <w:rPr>
                <w:rFonts w:ascii="Times New Roman" w:eastAsiaTheme="minorEastAsia" w:hAnsi="Times New Roman" w:cs="Times New Roman"/>
                <w:sz w:val="18"/>
                <w:szCs w:val="24"/>
                <w:lang w:val="en-US" w:eastAsia="en-GB"/>
              </w:rPr>
              <w:t>Please also contact your Relationship Manager or Trade Representative for details of other Non-Financing Trade Services</w:t>
            </w:r>
          </w:p>
        </w:tc>
      </w:tr>
    </w:tbl>
    <w:p w:rsidR="00896C6E" w:rsidRPr="00896C6E" w:rsidRDefault="00896C6E" w:rsidP="00896C6E">
      <w:pPr>
        <w:pStyle w:val="Default"/>
        <w:rPr>
          <w:sz w:val="18"/>
          <w:lang w:val="en-US"/>
        </w:rPr>
      </w:pPr>
      <w:r w:rsidRPr="00896C6E">
        <w:rPr>
          <w:sz w:val="18"/>
          <w:lang w:val="en-US"/>
        </w:rPr>
        <w:t>The information in this disclosure sheet is valid as at dd/mm/yy.</w:t>
      </w:r>
    </w:p>
    <w:p w:rsidR="00896C6E" w:rsidRDefault="00896C6E" w:rsidP="00896C6E">
      <w:pPr>
        <w:pStyle w:val="Default"/>
      </w:pPr>
    </w:p>
    <w:p w:rsidR="0025171E" w:rsidRDefault="00403E02"/>
    <w:sectPr w:rsidR="002517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02" w:rsidRDefault="00403E02" w:rsidP="00E061ED">
      <w:pPr>
        <w:spacing w:after="0" w:line="240" w:lineRule="auto"/>
      </w:pPr>
      <w:r>
        <w:separator/>
      </w:r>
    </w:p>
  </w:endnote>
  <w:endnote w:type="continuationSeparator" w:id="0">
    <w:p w:rsidR="00403E02" w:rsidRDefault="00403E02" w:rsidP="00E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ED" w:rsidRDefault="00E061ED">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CE" w:rsidRDefault="00B366CE">
    <w:pPr>
      <w:pStyle w:val="Footer"/>
    </w:pPr>
    <w:r>
      <w:t>PUBLIC - Version Feb 2020</w:t>
    </w:r>
  </w:p>
  <w:p w:rsidR="00E061ED" w:rsidRDefault="00E0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ED" w:rsidRDefault="00E061ED">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02" w:rsidRDefault="00403E02" w:rsidP="00E061ED">
      <w:pPr>
        <w:spacing w:after="0" w:line="240" w:lineRule="auto"/>
      </w:pPr>
      <w:r>
        <w:separator/>
      </w:r>
    </w:p>
  </w:footnote>
  <w:footnote w:type="continuationSeparator" w:id="0">
    <w:p w:rsidR="00403E02" w:rsidRDefault="00403E02" w:rsidP="00E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FF" w:rsidRDefault="00D7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FF" w:rsidRDefault="00D72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FF" w:rsidRDefault="00D72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E01A"/>
    <w:multiLevelType w:val="singleLevel"/>
    <w:tmpl w:val="75E4703A"/>
    <w:lvl w:ilvl="0">
      <w:start w:val="1"/>
      <w:numFmt w:val="decimal"/>
      <w:lvlText w:val="%1."/>
      <w:lvlJc w:val="left"/>
      <w:pPr>
        <w:tabs>
          <w:tab w:val="num" w:pos="288"/>
        </w:tabs>
        <w:ind w:left="72"/>
      </w:pPr>
      <w:rPr>
        <w:b/>
        <w:snapToGrid/>
        <w:sz w:val="18"/>
      </w:rPr>
    </w:lvl>
  </w:abstractNum>
  <w:abstractNum w:abstractNumId="1" w15:restartNumberingAfterBreak="0">
    <w:nsid w:val="04BDF244"/>
    <w:multiLevelType w:val="singleLevel"/>
    <w:tmpl w:val="43202B68"/>
    <w:lvl w:ilvl="0">
      <w:start w:val="6"/>
      <w:numFmt w:val="decimal"/>
      <w:lvlText w:val="%1."/>
      <w:lvlJc w:val="left"/>
      <w:pPr>
        <w:tabs>
          <w:tab w:val="num" w:pos="288"/>
        </w:tabs>
        <w:ind w:left="144"/>
      </w:pPr>
      <w:rPr>
        <w:b/>
        <w:snapToGrid/>
        <w:sz w:val="18"/>
      </w:rPr>
    </w:lvl>
  </w:abstractNum>
  <w:abstractNum w:abstractNumId="2" w15:restartNumberingAfterBreak="0">
    <w:nsid w:val="0656650D"/>
    <w:multiLevelType w:val="singleLevel"/>
    <w:tmpl w:val="59444676"/>
    <w:lvl w:ilvl="0">
      <w:start w:val="4"/>
      <w:numFmt w:val="decimal"/>
      <w:lvlText w:val="%1."/>
      <w:lvlJc w:val="left"/>
      <w:pPr>
        <w:tabs>
          <w:tab w:val="num" w:pos="288"/>
        </w:tabs>
        <w:ind w:left="72"/>
      </w:pPr>
      <w:rPr>
        <w:b/>
        <w:snapToGrid/>
        <w:sz w:val="18"/>
      </w:rPr>
    </w:lvl>
  </w:abstractNum>
  <w:abstractNum w:abstractNumId="3" w15:restartNumberingAfterBreak="0">
    <w:nsid w:val="07EECA2D"/>
    <w:multiLevelType w:val="singleLevel"/>
    <w:tmpl w:val="3BC20EA0"/>
    <w:lvl w:ilvl="0">
      <w:numFmt w:val="bullet"/>
      <w:lvlText w:val="·"/>
      <w:lvlJc w:val="left"/>
      <w:pPr>
        <w:tabs>
          <w:tab w:val="num" w:pos="864"/>
        </w:tabs>
        <w:ind w:left="864" w:hanging="432"/>
      </w:pPr>
      <w:rPr>
        <w:rFonts w:ascii="Symbol" w:hAnsi="Symbol"/>
        <w:snapToGrid/>
        <w:sz w:val="18"/>
      </w:rPr>
    </w:lvl>
  </w:abstractNum>
  <w:abstractNum w:abstractNumId="4" w15:restartNumberingAfterBreak="0">
    <w:nsid w:val="41522C2B"/>
    <w:multiLevelType w:val="hybridMultilevel"/>
    <w:tmpl w:val="267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A3D52"/>
    <w:multiLevelType w:val="hybridMultilevel"/>
    <w:tmpl w:val="4D7AC1F8"/>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num w:numId="1">
    <w:abstractNumId w:val="0"/>
  </w:num>
  <w:num w:numId="2">
    <w:abstractNumId w:val="3"/>
  </w:num>
  <w:num w:numId="3">
    <w:abstractNumId w:val="2"/>
  </w:num>
  <w:num w:numId="4">
    <w:abstractNumId w:val="3"/>
    <w:lvlOverride w:ilvl="0">
      <w:lvl w:ilvl="0">
        <w:numFmt w:val="bullet"/>
        <w:lvlText w:val="·"/>
        <w:lvlJc w:val="left"/>
        <w:pPr>
          <w:tabs>
            <w:tab w:val="num" w:pos="864"/>
          </w:tabs>
          <w:ind w:left="72" w:firstLine="360"/>
        </w:pPr>
        <w:rPr>
          <w:rFonts w:ascii="Symbol" w:hAnsi="Symbol"/>
          <w:snapToGrid/>
          <w:sz w:val="18"/>
        </w:rPr>
      </w:lvl>
    </w:lvlOverride>
  </w:num>
  <w:num w:numId="5">
    <w:abstractNumId w:val="4"/>
  </w:num>
  <w:num w:numId="6">
    <w:abstractNumId w:val="1"/>
  </w:num>
  <w:num w:numId="7">
    <w:abstractNumId w:val="1"/>
    <w:lvlOverride w:ilvl="0">
      <w:lvl w:ilvl="0">
        <w:numFmt w:val="decimal"/>
        <w:lvlText w:val="%1."/>
        <w:lvlJc w:val="left"/>
        <w:pPr>
          <w:tabs>
            <w:tab w:val="num" w:pos="504"/>
          </w:tabs>
          <w:ind w:left="504" w:hanging="360"/>
        </w:pPr>
        <w:rPr>
          <w:b/>
          <w:snapToGrid/>
          <w:sz w:val="18"/>
        </w:rPr>
      </w:lvl>
    </w:lvlOverride>
  </w:num>
  <w:num w:numId="8">
    <w:abstractNumId w:val="3"/>
    <w:lvlOverride w:ilvl="0">
      <w:lvl w:ilvl="0">
        <w:numFmt w:val="bullet"/>
        <w:lvlText w:val="·"/>
        <w:lvlJc w:val="left"/>
        <w:pPr>
          <w:tabs>
            <w:tab w:val="num" w:pos="504"/>
          </w:tabs>
          <w:ind w:left="504" w:hanging="360"/>
        </w:pPr>
        <w:rPr>
          <w:rFonts w:ascii="Symbol" w:hAnsi="Symbol"/>
          <w:snapToGrid/>
          <w:sz w:val="18"/>
        </w:rPr>
      </w:lvl>
    </w:lvlOverride>
  </w:num>
  <w:num w:numId="9">
    <w:abstractNumId w:val="3"/>
    <w:lvlOverride w:ilvl="0">
      <w:lvl w:ilvl="0">
        <w:numFmt w:val="bullet"/>
        <w:lvlText w:val="·"/>
        <w:lvlJc w:val="left"/>
        <w:pPr>
          <w:tabs>
            <w:tab w:val="num" w:pos="504"/>
          </w:tabs>
          <w:ind w:left="504" w:hanging="216"/>
        </w:pPr>
        <w:rPr>
          <w:rFonts w:ascii="Symbol" w:hAnsi="Symbol"/>
          <w:snapToGrid/>
          <w:sz w:val="18"/>
        </w:rPr>
      </w:lvl>
    </w:lvlOverride>
  </w:num>
  <w:num w:numId="10">
    <w:abstractNumId w:val="5"/>
  </w:num>
  <w:num w:numId="11">
    <w:abstractNumId w:val="3"/>
    <w:lvlOverride w:ilvl="0">
      <w:lvl w:ilvl="0">
        <w:numFmt w:val="bullet"/>
        <w:lvlText w:val="·"/>
        <w:lvlJc w:val="left"/>
        <w:pPr>
          <w:tabs>
            <w:tab w:val="num" w:pos="864"/>
          </w:tabs>
          <w:ind w:left="504"/>
        </w:pPr>
        <w:rPr>
          <w:rFonts w:ascii="Symbol" w:hAnsi="Symbol"/>
          <w:snapToGrid/>
          <w:spacing w:val="-1"/>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6E"/>
    <w:rsid w:val="00075CD9"/>
    <w:rsid w:val="00093DF3"/>
    <w:rsid w:val="002F547D"/>
    <w:rsid w:val="003C734F"/>
    <w:rsid w:val="00403E02"/>
    <w:rsid w:val="0046267B"/>
    <w:rsid w:val="00467AD9"/>
    <w:rsid w:val="006A7292"/>
    <w:rsid w:val="00896C6E"/>
    <w:rsid w:val="00A31E58"/>
    <w:rsid w:val="00A9428B"/>
    <w:rsid w:val="00B366CE"/>
    <w:rsid w:val="00B6533E"/>
    <w:rsid w:val="00D72DFF"/>
    <w:rsid w:val="00D8134F"/>
    <w:rsid w:val="00E0446F"/>
    <w:rsid w:val="00E061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3542-7F6D-4A15-B5C9-616A95C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C6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9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C6E"/>
    <w:pPr>
      <w:ind w:left="720"/>
      <w:contextualSpacing/>
    </w:pPr>
  </w:style>
  <w:style w:type="paragraph" w:styleId="Header">
    <w:name w:val="header"/>
    <w:basedOn w:val="Normal"/>
    <w:link w:val="HeaderChar"/>
    <w:uiPriority w:val="99"/>
    <w:unhideWhenUsed/>
    <w:rsid w:val="00E0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1ED"/>
  </w:style>
  <w:style w:type="paragraph" w:styleId="Footer">
    <w:name w:val="footer"/>
    <w:basedOn w:val="Normal"/>
    <w:link w:val="FooterChar"/>
    <w:uiPriority w:val="99"/>
    <w:unhideWhenUsed/>
    <w:rsid w:val="00E0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1ED"/>
  </w:style>
  <w:style w:type="paragraph" w:styleId="BalloonText">
    <w:name w:val="Balloon Text"/>
    <w:basedOn w:val="Normal"/>
    <w:link w:val="BalloonTextChar"/>
    <w:uiPriority w:val="99"/>
    <w:semiHidden/>
    <w:unhideWhenUsed/>
    <w:rsid w:val="00B36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camanah.com.m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mtelelink@bnm.gov.m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aints@hsbc.com.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trf.client.services.my@hsbc.com.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04CB-DEBA-40D8-A29E-59251F00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6203</Characters>
  <Application>Microsoft Office Word</Application>
  <DocSecurity>0</DocSecurity>
  <Lines>126</Lines>
  <Paragraphs>80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nurfhara.nadia.nordin@hsbc.com.my</dc:creator>
  <cp:keywords>PUBLIC</cp:keywords>
  <dc:description>PUBLIC</dc:description>
  <cp:lastModifiedBy>sara.hassan@hsbc.com</cp:lastModifiedBy>
  <cp:revision>1</cp:revision>
  <dcterms:created xsi:type="dcterms:W3CDTF">2020-04-29T09:19:00Z</dcterms:created>
  <dcterms:modified xsi:type="dcterms:W3CDTF">2020-04-29T09:19:00Z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